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I.d / Przedmiot obieralny (z grupy HES,...) Polska w Unii Europejskiej. Możliwości Korzystania z Funduszy Unijnych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Szymon Drabczyk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10 godzin, w tym:
a) wykład - 8 godz.
c) konsultacje - 2 godz.
2. Praca własna studenta: 40 godzin, w tym:
a) 20 godz. - bieżące przygotowywanie się do wykładów;
b) 20 godz. - przygotowywanie się do kolokwium;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10 godzin, w tym:
a) wykład - 8 godz.
c) konsultacje - 2 godz.
RAZEM: 10 godzin, co odpowiada 0.4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zdobycie przez studentów wiedzy na temat UE i integracji Polski w ramach UE oraz nabycie przez nich wiadomości i umiejętności przydatnych do pozyskiwania środków z funduszy i programów UE, np. umiejętności wyszukiwania informacji o UE i oferowanych przez nią funduszy dla różnych kategorii ewentualnych beneficjantów.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prawa unijnego – elementy składowe, zasady (po wejściu w życie Traktatu z Lizbony).
2.	Główne organy (tzw. instytucje UE) i procedury decyzyjne Unii Europejskiej i EURATOM-u po wejściu w życie Traktatu z Lizbony.
3.	Integracja Polski z UE.
4.	Geneza i ewolucja polityki regionalnej UE (założenia, okresy, cele, zasady, instrumenty, ocena) .
5.	Środki  z unijnych funduszy strukturalnych i Funduszu Spójności dla Polski w latach 2014-2020. Ogólna charakterystyka polskich Programów Operacyjnych i instytucjonalnego schematu zarządzania ich realizacją.
6.	„Horyzont 2020 – Program Ramowy w zakresie badań naukowych i innowacji (2014-2020)”
7.	Unijny program edukacyjny ErasmusPlus: wyjazdy studentów na studia i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.Jacek Barcik, Aleksandra Wentkowska: Prawo Unii Europejskiej, Wydawnictwo C.H.Beck, Warszawa  2014
2.	 Prawo Unii Europejskiej. Vademecum. Instytucje i porządek prawny. Prawo materialne; praca zbiorowa pod red. A. Zawadzkiej-Łojek, R. Grzeszczaka, A. Łazowskiego, Instytut Wydawniczy EuroPrawo, Warszawa  2014
3.	Sławomir Pastuszka: Polityka regionalna Unii Europejskiej – cele, narzędzia, efekty; wydawnictwo Difin SA, Warszawa 2012
Adresy internetowe: www.europa.eu  ,  www.polskawue.gov.pl, www.funduszeeuropejskie.gov.pl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K_W23: </w:t>
      </w:r>
    </w:p>
    <w:p>
      <w:pPr/>
      <w:r>
        <w:rPr/>
        <w:t xml:space="preserve">ma podstawową wiedzę z zakresu zarządzania, w tym zarządzania jakością; zna ogólne zasady tworzenia i rozwoju form indywidualnej przedsiębiorczości, wykorzystującej wiedzę z zakresu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ma umiejętność samokształcenia się, m.in. w celu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K_K02, K_K03, K_K04, K_K05, K_K06: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
ma świadomość ważności i rozumie pozatechniczne aspekty i skutki działalności inżyniera geodety i kartografa, w tym jej wpływ na środowisko i konflikty społeczne, i związaną z tym odpowiedzialność za podejmowane decyzje
ma świadomość ważności zachowania w sposób profesjonalny, przestrzegania zasad etyki zawodowej i poszanowania różnorodności poglądów i kultur
ma świadomość odpowiedzialności za pracę własną oraz gotowość podporządkowania się zasadom pracy w zespole i ponoszenia odpowiedzialności za wspólnie realizowane zadania
potrafi myśleć i działać w sposób przedsiębiorczy
ma świadomość roli społecznej absolwenta uczelni technicznej, a zwłaszcza rozumie potrzebę formułowania i przekazywania społeczeństwu - m.in. poprzez środki masowego przekazu - informacji i opinii dotyczących osiągnięć geodezji i kartografii i innych aspektów działalności inżyniera geodety i kartografa; podejmuje starania, aby przekazać takie informacje i opinie w sposób powszechnie zrozumiały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2025-05-03T05:38:42+02:00</dcterms:created>
  <dcterms:modified xsi:type="dcterms:W3CDTF">2025-05-03T05:38:42+02:00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