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24, w tym: obecność na wykładach: 8 godz., obecność na ćwiczeniach: 16 godz.
Przygotowanie do zajęć ćwiczeniowych: 16 godz., zapoznanie się ze wskazaną literaturą: 12 godz., przygotowanie do egzaminu i obecność na egzaminie: 24 godz.
Razem nakład pracy studenta: 76 godz. = 3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Zakładanie katastru.
Prowadzenie katastru.
Aktualizacja danych katastralnych.
Udostępnianie danych katastralnych.
Modernizacja ewidencji gruntów i budynków.
Operat ewidencyjny. Dane przedmiotowe i podmiotowe zawarte w bazie danych katastralnych.
Ustalanie przebiegu granic działek ewidencyjnych.
Ćwiczenia projektowe:
Wykonanie numerycznej mapy ewidencyjnej.
Założenie bazy danych ewidencyjnych.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projektów, sprawozdań oraz sprawdzianów.
W celu zdania egzaminu pisemnego wymagane jest uzyskanie minimum 60% punktów.
Ocenę łączną stanowi średnia arytmetyczna z ocen z ćwiczeń oraz z egzaminu pisemnego.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przepisy prawa:
1. Ustawa z 1989 roku Prawo geodezyjne i kartograficzne.
2. Rozporządzenie z 2001 roku w sprawie ewidencji gruntów i budynków.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GK.NIK606_W1: </w:t>
      </w:r>
    </w:p>
    <w:p>
      <w:pPr/>
      <w:r>
        <w:rPr/>
        <w:t xml:space="preserve">zna zasady prowadzenia i udostępniania katastru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GK.NIK606_U1: </w:t>
      </w:r>
    </w:p>
    <w:p>
      <w:pPr/>
      <w:r>
        <w:rPr/>
        <w:t xml:space="preserve">potrafi sporządzić numeryczną mapę ewidencyjną oraz rejestr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T1A_U12, T1A_U14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GK.NIK606_U1: </w:t>
      </w:r>
    </w:p>
    <w:p>
      <w:pPr/>
      <w:r>
        <w:rPr/>
        <w:t xml:space="preserve">rozumie pozatechniczne aspekty i skutki działalności inżyniera geodety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2026-10-19T11:41:11+02:00</dcterms:created>
  <dcterms:modified xsi:type="dcterms:W3CDTF">2026-10-19T11:41:11+02:00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