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Postępowania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A12_PASU</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konstruujących je czynności procesowych. Analiza ta jest prowadzona na podstawie obowiązujących i projektowanych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Postępowanie w sprawach rozstrzygania sporów o właściwość między organami administracji publicznej.
8. Pojęcie skargi powszechnej i wniosku; postępowanie w sprawach skarg i wniosków.
9. Postępowanie w sprawach petycji.
10. Postępowanie w sprawach wydawania zaświadczeń.
11. Zagadnienia konstrukcyjne autonomicznej procedury administracyjnej w sprawach podatkowych; konstrukcja postępowania w sprawach celnych.
12. Postępowanie przed konsulem jako administracyjne postępowanie szczególne.
13. Koncepcja administracyjnego postępowania typu hybrydowego; postępowanie w sprawach z zakresu ochrony konkurencji i konsumentów.
14.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uzyskanie pozytywnej oceny z zaliczenia pisemnego z pytaniami opisowymi i/lub testowymi.
Ocena za przedmiot:
Ocena - Student, który zaliczył przedmiot (moduł) wie/umie/potrafi: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2015. 
2. B. Adamiak, J. Borkowski, Postępowanie administracyjne i sądowoadministracyjne, Wyd. Wolters Kluwer, Warszawa 2016. 
3. P. Kledzik, Postępowanie administracyjne w sprawie skarg i wniosków, Wrocław 2012. 
4. P. Krzykowski, Wydawanie zaświadczeń w polskim prawie administracyjnym; Olsztyn 2010.
Literatura uzupełniająca: 
1. B. Adamiak, J. Borkowski Krawczyk A., Skoczylas A., Prawo procesowe administracyjne [w:] System Prawa Administracyjnego, t. 9, red. R. Hauser, Z. Niewiadomski, A. Wróbel, Warszawa 2014.
2. K. Celińska-Grzegorczyk, Postępowanie patentowe jako szczególne postępowanie administracyjne,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pojęć i definicji dotyczących problematyki procesowego prawa administracyjnego.</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uporządkowaną wiedzę na temat systemowego usytuowania i celów szczególnych i uproszczonych postępowań administracyjnych.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keepNext w:val="1"/>
        <w:spacing w:after="10"/>
      </w:pPr>
      <w:r>
        <w:rPr>
          <w:b/>
          <w:bCs/>
        </w:rPr>
        <w:t xml:space="preserve">Efekt W_03: </w:t>
      </w:r>
    </w:p>
    <w:p>
      <w:pPr/>
      <w:r>
        <w:rPr/>
        <w:t xml:space="preserve">Ma uporządkowaną wiedzę na temat czynności procesowych podejmowanych w toku szczególnych i uproszczonych postępowań administracyjnych.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S1A_U01, S1A_U02, S1A_U03, S1A_U05, S1A_U06, S1A_U07, S1A_U08, S1A_U09, S1A_U10, S1A_U02, S1A_U03, S1A_U06, S1A_U08, S1A_U01, S1A_U02, S1A_U03, S1A_U04, S1A_U05, S1A_U06, S1A_U07, S1A_U08</w:t>
      </w:r>
    </w:p>
    <w:p>
      <w:pPr>
        <w:keepNext w:val="1"/>
        <w:spacing w:after="10"/>
      </w:pPr>
      <w:r>
        <w:rPr>
          <w:b/>
          <w:bCs/>
        </w:rPr>
        <w:t xml:space="preserve">Efekt U_02: </w:t>
      </w:r>
    </w:p>
    <w:p>
      <w:pPr/>
      <w:r>
        <w:rPr/>
        <w:t xml:space="preserve">Potrafi samodzielnie zdobywać i weryfikować wiedzę oraz rozwijać swoje umiejętności, korzystając z różnych źródeł i nowoczesnych technologii.</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U_03: </w:t>
      </w:r>
    </w:p>
    <w:p>
      <w:pPr/>
      <w:r>
        <w:rPr/>
        <w:t xml:space="preserve">Posiada umiejętność samodzielnego merytorycznego argumentowania z wykorzystaniem poglądów różnych autorów, w tym stawiania tez, trafnego formułowania wniosków, tworzenia syntetycznych podsumowań i ocen wybranych problemów.</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K_K09</w:t>
      </w:r>
    </w:p>
    <w:p>
      <w:pPr>
        <w:spacing w:before="20" w:after="190"/>
      </w:pPr>
      <w:r>
        <w:rPr>
          <w:b/>
          <w:bCs/>
        </w:rPr>
        <w:t xml:space="preserve">Powiązane efekty obszarowe: </w:t>
      </w:r>
      <w:r>
        <w:rPr/>
        <w:t xml:space="preserve">S1A_K01, S1A_K02, S1A_K03, S1A_K04, S1A_K05, S1A_K07, S1A_K02, S1A_K03, S1A_K05, S1A_K03, S1A_K04, S1A_K06</w:t>
      </w:r>
    </w:p>
    <w:p>
      <w:pPr>
        <w:keepNext w:val="1"/>
        <w:spacing w:after="10"/>
      </w:pPr>
      <w:r>
        <w:rPr>
          <w:b/>
          <w:bCs/>
        </w:rPr>
        <w:t xml:space="preserve">Efekt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2026-08-19T20:18:58+02:00</dcterms:created>
  <dcterms:modified xsi:type="dcterms:W3CDTF">2026-08-19T20:18:58+02:00</dcterms:modified>
</cp:coreProperties>
</file>

<file path=docProps/custom.xml><?xml version="1.0" encoding="utf-8"?>
<Properties xmlns="http://schemas.openxmlformats.org/officeDocument/2006/custom-properties" xmlns:vt="http://schemas.openxmlformats.org/officeDocument/2006/docPropsVTypes"/>
</file>