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(opracowanie projektu) + 14h (przygotowanie do kolokwium i zaliczenia przedmiotu)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ma uporządkowaną wiedzę z zakresu przedmiotu i zadania finansów  przedsiębiorstwa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keepNext w:val="1"/>
        <w:spacing w:after="10"/>
      </w:pPr>
      <w:r>
        <w:rPr>
          <w:b/>
          <w:bCs/>
        </w:rPr>
        <w:t xml:space="preserve">Efekt 1P2Z4_W02: </w:t>
      </w:r>
    </w:p>
    <w:p>
      <w:pPr/>
      <w:r>
        <w:rPr/>
        <w:t xml:space="preserve">		posiada podstawową wiedzę z zakresu zasad finansowania i inwestowania, kapitału obcego i jego pozyskiwania, emisji akcji i obligacji, kosztu kapitałów długów i kapitału własnego, inwestowania kapitału inwestycji rzeczowych i pieniężnych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potrafił wskazać  i przeprowadzić analizy fundamentalne działalności firmy (sektorowa i wskaźnikowa).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2026-09-30T10:52:03+02:00</dcterms:created>
  <dcterms:modified xsi:type="dcterms:W3CDTF">2026-09-30T10:52:03+02:00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