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(zajęcia ćwiczeniowe) + 1h (konsultacje) + 42h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(zajęcia ćwiczeniowe)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							Ma usystematyzowaną wiedzę niezbędną do poznania i opanowania metod oraz formuł związanych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							Potrafi samodzielnie dokonać obliczeń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7P1Z4_U01: </w:t>
      </w:r>
    </w:p>
    <w:p>
      <w:pPr/>
      <w:r>
        <w:rPr/>
        <w:t xml:space="preserve">							Potrafi wykorzystać zestaw narzędzi pozwalających na ob-liczenie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							Rozumie ograniczenia wynikające z aktualnego poziomu wiedzy w zakresie prawa podatkowego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7P1Z4_K01: </w:t>
      </w:r>
    </w:p>
    <w:p>
      <w:pPr/>
      <w:r>
        <w:rPr/>
        <w:t xml:space="preserve">							Ma świadomość poziomu swojej wiedzy i umiejętności, ro-zumie konieczność dalszego doskonalenia zawodowego i rozwoju osobistego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2026-09-30T19:26:56+02:00</dcterms:created>
  <dcterms:modified xsi:type="dcterms:W3CDTF">2026-09-30T19:26:56+02:00</dcterms:modified>
</cp:coreProperties>
</file>

<file path=docProps/custom.xml><?xml version="1.0" encoding="utf-8"?>
<Properties xmlns="http://schemas.openxmlformats.org/officeDocument/2006/custom-properties" xmlns:vt="http://schemas.openxmlformats.org/officeDocument/2006/docPropsVTypes"/>
</file>