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(ćwiczenia) + 1h (kons. grupowe) + 1h (kons. indywidualne)
+ 5x7h (wykonanie, weryfikacja i zaliczenie ćwiczeń) +
10h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
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+ 5x7h (wykonanie, weryfikacja i zaliczenie ćwiczeń) =
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zna rolę i znaczenie problematyki własności intelektualnej, zna rodzaje wytworów myśli ludzkiej podlegających ochronie prawnej - przedmiotów własności intelektualnej oraz ich cechy – kryteria umożliwiające uzyskanie ochrony.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ma elementarną wiedzę o sposobach uzyskiwania ochrony w trybie rejestracji, w tym głównie ochrony patentowej oraz o zakresie podmiotowym i rzeczowym praw wyłącznych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posiada wiedzę z zakresu podstawowych zasad zarządzania własnością intelektualną oraz prowadzenia badań stanu techniki, zdolności i czystości patentowej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potrafi odróżniać systemy uzyskiwania ochrony na dobra niematerialne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OCWIN_U02: </w:t>
      </w:r>
    </w:p>
    <w:p>
      <w:pPr/>
      <w:r>
        <w:rPr/>
        <w:t xml:space="preserve">							potrafi korzystać z informacji patentowej dla potrzeb określania stanu techniki, badania zdolności ochronnej i czystości patentowej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potrafi samodzielnie zdobywać wiedzę z zakresu ochrony własności intelektualnej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potrafi ocenić poziom swojej wiedzy i umiejętności, uznaje konieczność ciągłego dokształcania się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2026-09-27T15:56:56+02:00</dcterms:created>
  <dcterms:modified xsi:type="dcterms:W3CDTF">2026-09-27T15:56:56+02:00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