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Fizjologia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 
20h (ćwiczenia) + 1h (udział w konsultacjach) + 2x8h (przygotowanie odpowiedzi na pytania przedkolokwialne) + 2x8h (opracowanie projek-tów przedkolokwialnych) + 12h (opracowanie projektu) + 10 h (przygo-towanie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wiedzę o normach funkcjonowania człowieka zawartych w fizjo-logii pracy, 
- potrafił wykorzystać  zdobytą  wiedzę  z  fizjologii  pracy  w organiza-cji 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Rola fizjologii pracy w kształtowaniu warunków pracy. 2) Koszt fi-zjologiczny i energetyczny pracy fizycznej dynamicznej - pojęcia, me-tody oceny, optymalizacja obciążeń. 3) Ocena obciążenia pracą fizyczną dynamiczną na stanowisku pracy. 4) Koszt fizjologiczny i energetyczny pracy fizycznej statycznej - pojęcia, metody oceny, optymalizacja obciążeń. 5) Termoregulacja organizmu człowieka i obciążenie termiczne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eksperymenty, OWPW, Warszawa 2007. [2] Górska E., Lewandowski J.: Podstawy za-rządzania i kształtowania środowiska pracy, OWPW, Warszawa 2002. [3] Kozłowski S., Nazar K.: Wprowadzenie do fizjologii klinicznej. Wyd. III. Warszawa, PZWL 1999. [4] Marcinkowski J.T. (red.): Medy-cyna pracy. Wyd.  AM, Poznań1996. [5] Marek K. (red.): Choroby za-wodowe. PZWL, Warszawa 2001. [6] Rozp. R. M. z 30 czerwca 2009 r. w sprawie chorób zawodowych (Dz.U. 105, poz. 869).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6P1Z6_W01: </w:t>
      </w:r>
    </w:p>
    <w:p>
      <w:pPr/>
      <w:r>
        <w:rPr/>
        <w:t xml:space="preserve">							ma wiedzę o normach funkcjonowania człowieka zawar-tych w fizjologii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6P1Z6_U01: </w:t>
      </w:r>
    </w:p>
    <w:p>
      <w:pPr/>
      <w:r>
        <w:rPr/>
        <w:t xml:space="preserve">							wykorzystuje  zdobytą  wiedzę  z  fizjologii  pracy  w orga-nizacji 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2026-09-27T17:58:15+02:00</dcterms:created>
  <dcterms:modified xsi:type="dcterms:W3CDTF">2026-09-27T17:58:15+02:00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