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(zajęcia ćwiczeniowe) + 1h (konsultacje) + 34h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(zajęcia ćwiczeniowe)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							Ma usystematyzowaną wiedzę niezbędną do poznania i opanowania metod oraz formuł związanych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							Potrafi samodzielnie dokonać obliczeń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7P1Z4_U01: </w:t>
      </w:r>
    </w:p>
    <w:p>
      <w:pPr/>
      <w:r>
        <w:rPr/>
        <w:t xml:space="preserve">							Potrafi wykorzystać zestaw narzędzi pozwalających na ob-liczenie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							Rozumie ograniczenia wynikające z aktualnego poziomu wiedzy w zakresie prawa podatkowego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7P1Z4_K01: </w:t>
      </w:r>
    </w:p>
    <w:p>
      <w:pPr/>
      <w:r>
        <w:rPr/>
        <w:t xml:space="preserve">							Ma świadomość poziomu swojej wiedzy i umiejętności, ro-zumie konieczność dalszego doskonalenia zawodowego i rozwoju osobistego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2026-10-20T15:38:15+02:00</dcterms:created>
  <dcterms:modified xsi:type="dcterms:W3CDTF">2026-10-20T15:38:15+02:00</dcterms:modified>
</cp:coreProperties>
</file>

<file path=docProps/custom.xml><?xml version="1.0" encoding="utf-8"?>
<Properties xmlns="http://schemas.openxmlformats.org/officeDocument/2006/custom-properties" xmlns:vt="http://schemas.openxmlformats.org/officeDocument/2006/docPropsVTypes"/>
</file>