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10h (wykład) + 18h (laboratorium) + 1h (kons. grupowe) + 1h (kons. indywidualne) + 3x10h (przygotowanie do kolowium z edytora tekstów oraz arkusza kalkulacyjnego) + 2x9h (opracowanie projektów: prezentacja oraz serwis www) + 22h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(laboratorium)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(laboratorium) + 3x10h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	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									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k_U04, k_U21</w:t>
      </w:r>
    </w:p>
    <w:p>
      <w:pPr>
        <w:spacing w:before="20" w:after="190"/>
      </w:pPr>
      <w:r>
        <w:rPr>
          <w:b/>
          <w:bCs/>
        </w:rPr>
        <w:t xml:space="preserve">Powiązane efekty obszarowe: </w:t>
      </w:r>
      <w:r>
        <w:rPr/>
        <w:t xml:space="preserve">S1A_U05, S1A_U05</w:t>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2026-09-28T14:56:15+02:00</dcterms:created>
  <dcterms:modified xsi:type="dcterms:W3CDTF">2026-09-28T14:56:15+02:00</dcterms:modified>
</cp:coreProperties>
</file>

<file path=docProps/custom.xml><?xml version="1.0" encoding="utf-8"?>
<Properties xmlns="http://schemas.openxmlformats.org/officeDocument/2006/custom-properties" xmlns:vt="http://schemas.openxmlformats.org/officeDocument/2006/docPropsVTypes"/>
</file>