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10h (wykład) + 18h (laboratorium) + 1h (kons. grupowe) + 1h (kons. indywidualne) + 3x10h (przygotowanie do kolowium z edytora tekstów oraz arkusza kalkulacyjnego) + 2x9h (opracowanie projektów: prezentacja oraz serwis www) + 22h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(laboratorium)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(laboratorium) + 3x10h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	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									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k_U04, k_U21</w:t>
      </w:r>
    </w:p>
    <w:p>
      <w:pPr>
        <w:spacing w:before="20" w:after="190"/>
      </w:pPr>
      <w:r>
        <w:rPr>
          <w:b/>
          <w:bCs/>
        </w:rPr>
        <w:t xml:space="preserve">Powiązane efekty obszarowe: </w:t>
      </w:r>
      <w:r>
        <w:rPr/>
        <w:t xml:space="preserve">S1A_U05, S1A_U05</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2026-10-19T09:03:17+02:00</dcterms:created>
  <dcterms:modified xsi:type="dcterms:W3CDTF">2026-10-19T09:03:17+02:00</dcterms:modified>
</cp:coreProperties>
</file>

<file path=docProps/custom.xml><?xml version="1.0" encoding="utf-8"?>
<Properties xmlns="http://schemas.openxmlformats.org/officeDocument/2006/custom-properties" xmlns:vt="http://schemas.openxmlformats.org/officeDocument/2006/docPropsVTypes"/>
</file>