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Ma usystematyzowaną wiedzę niezbędną do poznania i opanowania metod oraz formuł związanych z prawem po-datkowym</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Potrafi samodzielnie dokonać obliczeń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7P1Z4_U01: </w:t>
      </w:r>
    </w:p>
    <w:p>
      <w:pPr/>
      <w:r>
        <w:rPr/>
        <w:t xml:space="preserve">Potrafi wykorzystać zestaw narzędzi pozwalających na ob-liczenie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Rozumie ograniczenia wynikające z aktualnego poziomu wiedzy w zakresie prawa podatkowego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7P1Z4_K01: </w:t>
      </w:r>
    </w:p>
    <w:p>
      <w:pPr/>
      <w:r>
        <w:rPr/>
        <w:t xml:space="preserve">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2026-10-19T20:58:35+02:00</dcterms:created>
  <dcterms:modified xsi:type="dcterms:W3CDTF">2026-10-19T20:58:35+02:00</dcterms:modified>
</cp:coreProperties>
</file>

<file path=docProps/custom.xml><?xml version="1.0" encoding="utf-8"?>
<Properties xmlns="http://schemas.openxmlformats.org/officeDocument/2006/custom-properties" xmlns:vt="http://schemas.openxmlformats.org/officeDocument/2006/docPropsVTypes"/>
</file>