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14h (wykład) + 14h (laboratorium) + 1h (konsultacje grupowe) + 1h (konsultacje indywidualne) + 14x2h (przygotowanie do ćwiczeń laboratoryjnych) + 10h (przygotowanie do kolokwium – wykład) + 16h (przygotowanie do kolokwium - laboratorium) + 16h (przygotowanie aplikacji).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(laboratorium) + 1h (konsultacje grupowe) + 1h (konsultacje indywidualne) = 30h.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14h (laboratorium) + 14x2h (przygotowanie do ćwiczeń laboratoryjnych) + 16h (przygotowanie do kolokwium - laboratorium) + 16h (projekt i implementacja aplikacji) = 74h.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komputera, posługiwanie się pocztą elektroniczną oraz edytorem tekstu.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programowania w języku wysokiego poziomu z położeniem nacisku na programowanie zorientowane obiektowo,
- potrafił implementować proste algorytmy oraz typowe struktury danych,
- potrafił pisać oraz uruchamiać proste programy o rozmiarze rzędu 100-150 wierszy kodu źródłowego z wykorzystaniem zintegrowanego środowiska programistycznego.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przedmiotu, podstawowa terminologia, wprowadzenie do programowania 2) Wprowadzenie do języka Java. 3) Proste typy danych. 4.)Wyrażenie i operatory. 5) Instrukcje sterujące. 6) Złożone typy danych – łańcuchy. 7) Złożone typy danych – tablice jednowymiarowe. 8) Złożone typy danych – tablice wielowymiarowe. 9) Programowanie obiektowe w języku Java. 10) Tworzenie własnych klas. 11) Dziedziczenie. 12) Interfejsy i klasy wewnętrzne. 13) Wyjątki i obsługa błędów. 14) Strumienie i pliki. 15) Strumienie obiektów.
Laboratorium: Wykonanie w laboratorium ćwiczeń z wykorzystaniem zintegrowanego środowiska programistycznego w zakresie: 1) Proste typy danych. 2) Wyrażenia i operatory. 3) Instrukcje sterujące warunkowe. 4) Instrukcje sterujące iteracyjne. 5) Złożone typy danych – łańcuchy. 6) Złożone typy danych – tablice jednowymiarowe. 7) Złożone typy danych – tablice wielowymiarowe. 8) Programowanie obiektowe. 9) Tworzenie własnych klas. 10) Dziedziczenie. 11) Interfejsy i klasy wewnętrzne. 12) Wyjątki i obsługa błędów. 13) Strumienie i pliki. 14) Strumienie obiektów. Równolegle samodzielne przygotowywanie w ramach pracy własnej (przy konsultacyjnym wsparciu prowadzącego) projektu i implementacji prostej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Ocena formatywna: częściowo interaktywna forma prowadzenia wykładu. Ocena sumatywna: przeprowadzenie sprawdzianu zwierającego pytania otwarte oraz zadania programistyczne; ocena w zakresie 2-5; do zaliczenia wymagane jest uzyskanie oceny &gt;=3.
Laboratorium: 
Ocena formatywna: na zajęciach weryfikowane jest wykonanie ćwiczeń laboratoryjnych; elementy projektu są dyskuto-wane i weryfikowane na każdym z etapów jego realizacji – jest możliwość poprawienia wyników każdego etapu. Ocena sumatywna: przeprowadzenie kolokwium w formie praktycznej realizacji zadań programistycznych; oceniana jest wartość merytoryczna projektów i uzyskane na ich podstawie wyniki prac implementacyjnych oraz wynik rozmowy zaliczeniowej z prowadzącym; ocena z laboratorium w zakresie 2-5; do zaliczenia wymagane jest uzyskanie oceny &gt;=3.
Końcowa ocena z przedmiotu: 
Przedmiot uznaje się za zaliczony jeśli zarówno ocena z wykładu jak i laboratorium &gt;=3; ocena z przedmiotu jest obliczana zgodnie z formułą: 1/2 * ocena z laboratorium + 1/2 * ocena z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Horstmann C.S., Cornell G.: Java. Podstawy. Wydawnictwo Helion, Gliwice 2013.
[2] Eckel B.: Thinking in Java. Wydawnictwo Helion, Gliwice 2006.
[3] Schildt H.: Java. Kompendium programisty, Wydawnictwo Helion, Gliwice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PODPR_W01: </w:t>
      </w:r>
    </w:p>
    <w:p>
      <w:pPr/>
      <w:r>
        <w:rPr/>
        <w:t xml:space="preserve">ma usystematyzowaną wiedzę z zakresu podstaw programowania w języku wysokiego poziomu z położeniem nacisku na programowanie zorientowane obiektowo.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zwierające pytania otwarte oraz zadania (wykład) i 1 kolokwium w formie praktycznej realizacji zadań programistycznych (laboratorium).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PODPR_U01: </w:t>
      </w:r>
    </w:p>
    <w:p>
      <w:pPr/>
      <w:r>
        <w:rPr/>
        <w:t xml:space="preserve">potrafi implementować proste algorytmy oraz typowe struktury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samodzielnie przygotowanego projektu i implementacji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PODPR_U02: </w:t>
      </w:r>
    </w:p>
    <w:p>
      <w:pPr/>
      <w:r>
        <w:rPr/>
        <w:t xml:space="preserve">potrafi pisać oraz uruchamiać proste programy z wykorzystaniem zintegrowanego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samodzielnie przygotowanego projektu i implementacji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PODPR_K01: </w:t>
      </w:r>
    </w:p>
    <w:p>
      <w:pPr/>
      <w:r>
        <w:rPr/>
        <w:t xml:space="preserve">		rozumie potrzebę zachowań personalnych i przestrzega zasad etyki, w tym uczciwości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samodzielności pracy podczas kolokwiów, ocena merytorycznej znajomości przygotowanej aplikacji podczas rozmowy zaliczenio-wej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2026-10-21T04:45:45+02:00</dcterms:created>
  <dcterms:modified xsi:type="dcterms:W3CDTF">2026-10-21T04:45:45+02:00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