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
 </w:t>
      </w:r>
    </w:p>
    <w:p>
      <w:pPr>
        <w:keepNext w:val="1"/>
        <w:spacing w:after="10"/>
      </w:pPr>
      <w:r>
        <w:rPr>
          <w:b/>
          <w:bCs/>
        </w:rPr>
        <w:t xml:space="preserve">Metody oceny: </w:t>
      </w:r>
    </w:p>
    <w:p>
      <w:pPr>
        <w:spacing w:before="20" w:after="190"/>
      </w:pPr>
      <w:r>
        <w:rPr/>
        <w:t xml:space="preserve">Na ocenę końcową wpływają: 5 zadań laboratoryjnych (razem 100 pkt), jedno kolokwium semestralne (30 pkt) oraz pisemny egzamin końcowy (30 pkt). Każde z zadań laboratoryjnych, kolokwium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 Foley, A. van Dam, S. K. Feiner, J. F. Hughes, Computer Graphics, Principles and Practice, Addison-Wesley, 1990.
2. Foley J.D.,van Dam A., Introduction to computer graphics .Addison-Wesley 1990, 1994 (Wprowadzenie do grafiki komputerowej – WNT 95).
3. A. S. Glassner, Graphics GEMs. Academic Press, San Diego, 1990.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K_U11, K_U23</w:t>
      </w:r>
    </w:p>
    <w:p>
      <w:pPr>
        <w:spacing w:before="20" w:after="190"/>
      </w:pPr>
      <w:r>
        <w:rPr>
          <w:b/>
          <w:bCs/>
        </w:rPr>
        <w:t xml:space="preserve">Powiązane efekty obszarowe: </w:t>
      </w:r>
      <w:r>
        <w:rPr/>
        <w:t xml:space="preserve">T1A_U09, T1A_U14, T1A_U15, T1A_U09, T1A_U16</w:t>
      </w:r>
    </w:p>
    <w:p>
      <w:pPr>
        <w:keepNext w:val="1"/>
        <w:spacing w:after="10"/>
      </w:pPr>
      <w:r>
        <w:rPr>
          <w:b/>
          <w:bCs/>
        </w:rPr>
        <w:t xml:space="preserve">Efekt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2026-02-07T11:18:38+01:00</dcterms:created>
  <dcterms:modified xsi:type="dcterms:W3CDTF">2026-02-07T11:18:38+01:00</dcterms:modified>
</cp:coreProperties>
</file>

<file path=docProps/custom.xml><?xml version="1.0" encoding="utf-8"?>
<Properties xmlns="http://schemas.openxmlformats.org/officeDocument/2006/custom-properties" xmlns:vt="http://schemas.openxmlformats.org/officeDocument/2006/docPropsVTypes"/>
</file>