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chromatyka grafów, systemy różnych reprezentantów, przepływy w sieciach, matroidy, algorytmy zachłanne, podstawy teorii Ramseya. Powinni także posiadać następujące umiejętności:
- wykorzystania nabytej wiedzy do rozwiązania (w sposób dokładny lub przybliżony) optymalizacyjnych problemów kombinatorycznych (m. in. problemu chińskiego listonosza, problemu komiwojażera, pewnych problemów szeregowania zadań, problemu największego przepływu w sieci),
- odróżnienia, w przypadku podstawowych problemów teorii grafów, które z tych problemów są obliczeniowo trudne, a które łatwe,
- określenia spójności grafu,
- znalezienia za pomocą odpowiedniego algorytmu cyklu i drogi Eulera w grafie, o ile istnieje,
- określenia czy graf jest planarny,
- znajdowania liczby chromatycznej i indeksu chromatycznego grafu (dla grafów niewielkiego rozmiaru),
- wykorzystania teorii matroidów do konstrukcji algorytmów zachłannych.</w:t>
      </w:r>
    </w:p>
    <w:p>
      <w:pPr>
        <w:keepNext w:val="1"/>
        <w:spacing w:after="10"/>
      </w:pPr>
      <w:r>
        <w:rPr>
          <w:b/>
          <w:bCs/>
        </w:rPr>
        <w:t xml:space="preserve">Treści kształcenia: </w:t>
      </w:r>
    </w:p>
    <w:p>
      <w:pPr>
        <w:spacing w:before="20" w:after="190"/>
      </w:pPr>
      <w:r>
        <w:rPr/>
        <w:t xml:space="preserve">Program wykładu i ćwiczeń:
Spójność, twierdzenie Mengera.
Obwód i droga Eulera, problem chińskiego listonosza.
Cykl i ścieżka Hamilona,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17 punktów, aktywność na ćwiczeniach 6 punktów oraz egzamin 60 punktów. Razem 100 punktów.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2026-10-18T13:36:07+02:00</dcterms:created>
  <dcterms:modified xsi:type="dcterms:W3CDTF">2026-10-18T13:36:07+02:00</dcterms:modified>
</cp:coreProperties>
</file>

<file path=docProps/custom.xml><?xml version="1.0" encoding="utf-8"?>
<Properties xmlns="http://schemas.openxmlformats.org/officeDocument/2006/custom-properties" xmlns:vt="http://schemas.openxmlformats.org/officeDocument/2006/docPropsVTypes"/>
</file>