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185 godz.
Łączny nakład pracy studenta: 200 godz., co odpowiada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studenta, sprawozdanie.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PDMGR_W01: </w:t>
      </w:r>
    </w:p>
    <w:p>
      <w:pPr/>
      <w:r>
        <w:rPr/>
        <w:t xml:space="preserve">Znajomość podstawowych metod, technik i narzędzi do rozwiązywania złożonych zadań inżynierskich lub zadań badawczych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PDMGR_U01: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</w:t>
      </w:r>
    </w:p>
    <w:p>
      <w:pPr>
        <w:keepNext w:val="1"/>
        <w:spacing w:after="10"/>
      </w:pPr>
      <w:r>
        <w:rPr>
          <w:b/>
          <w:bCs/>
        </w:rPr>
        <w:t xml:space="preserve">Efekt PDMGR_U02: </w:t>
      </w:r>
    </w:p>
    <w:p>
      <w:pPr/>
      <w:r>
        <w:rPr/>
        <w:t xml:space="preserve">Umiejętność oceny przydatności i wyboru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PDMGR_U03: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PDMGR_U04: </w:t>
      </w:r>
    </w:p>
    <w:p>
      <w:pPr/>
      <w:r>
        <w:rPr/>
        <w:t xml:space="preserve">Umiejętność przygotowania opracowania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T2A_U02, T2A_U03, T2A_U07, T2A_U11, T2A_U15,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PDMGR_K01: </w:t>
      </w:r>
    </w:p>
    <w:p>
      <w:pPr/>
      <w:r>
        <w:rPr/>
        <w:t xml:space="preserve">Umiejętność zaplanowania i zrealizowania zadania związanego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2026-09-08T18:13:13+02:00</dcterms:created>
  <dcterms:modified xsi:type="dcterms:W3CDTF">2026-09-08T18:13:13+02:00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