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automatyce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realizacja zadań projektowych: 15 x 2 godz. = 30 godz.
- udział w konsultacjach związanych z zadaniami domowymi oraz przed kolokwiami: 5 godz.
- przygotowanie do bieżących zajęć (wykładów i ćwiczeń): 10 godz.
- rozwiązywanie zadań domowych: 20 godz.
- przygotowanie do kolokwiów: 30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+ 4 (konsultacje) + 1 (oddawanie projektów)=35, co odpowiada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projektowania podstawowych algorytmów regulacji (PID oraz najprostszych algorytmów regulacji predykcyjnej)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zastosowaniami sztucznej inteligencji (podejścia określane wspólną nazwą "soft computing") w automatyce. W szczególności, zostaną omówione sztuczne sieci neuronowe oraz systemy rozmyte w problemach modelowania i sterowania. Ponadto, przedstawione zostaną algorytmy genetyczne i ich zastosowanie do projektowania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 jd). Wstęp - przykłady zastosowań systemów rozmytych, sieci neuronowych i algorytmów genetycznych w automatyce.
(2 jd). Przypomnienie podstawowych wiadomości z zakresu algorytmów regulacji automatycznej oraz optymalizacji punktu pracy:
    algorytm regulacji PID,
    algorytm ze sprzężeniem od stanu,
    idea algorytmów regulacji predykcyjnej,
    hierarchiczna struktura sterowania.
(3 jd). Sztuczne sieci neuronowe ? zagadnienia podstawowe:
    pojęcia neuronu, wagi, funkcji aktywacji,
    rodzaje najpopularniejszych sieci neuronowych (MLP, RBF),
    algorytmy doboru parametrów sieci neuronowych (uczenie).
(2 jd). Zastosowanie sieci neuronowych do modelowania nieliniowych zależności statycznych i dynamicznych.
(4 jd). Wykorzystanie sieci neuronowych w automatyce:
    układ regulacji z modelem odwrotnym,
    układ regulacji typu IMC,
    linearyzacja w pętli sprzężenia zwrotnego,
    regulatory predykcyjne bazujące na modelach neuronowych.
(2 jd). Systemy rozmyte - zagadnienia podstawowe:
    pojęcia: zbioru rozmytego, funkcji przynależności, schematu wnioskowania,
    wnioskowanie Mamdaniego,
    modele Takagi-Sugeno.
(3 jd). Zastosowanie systemów rozmytych do modelowania nieliniowych zależności statycznych i dynamicznych:
    metody doboru parametrów modeli rozmytych,
    dostrajanie modeli rozmytych z wykorzystaniem rozmytych sieci neuronowych.
(3 jd). Wykorzystanie systemów rozmytych w automatyce:
    regulator regułowy PID,
    regulator obszarowy PID,
    regulator obszarowy ze sprzężeniem od stanu,
    regulatory predykcyjne bazujące na modelach rozmytych.
(4 jd). Algorytmy genetyczne - zagadnienia podstawowe:
    pojęcia: chromosom, osobnik, populacja, operatory genetyczne, selekcja,
    zasada działania algorytmów genetycznych,
    przegląd algorytmów genetycznych,
    przykłady zastosowania algorytmów genetycznych w optymalizacji nieliniowej oraz projektowaniu układów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na koniec semestru przewidziany jest termin kolokwium poprawkowego. Każde kolokwium oceniane jest w skali 0-25 pkt., dwa pierwsze projekty oceniane są w skali 0-20 pkt., natomiast trzeci projekt w skali 0-10 pkt. (razem 100 pkt.). Aby zaliczyć przedmiot należy uzyskać co najmniej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Ławryńczuk, Piotr Marusak: Soft computing w automatyce. Skrypt,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SZAU_W01: </w:t>
      </w:r>
    </w:p>
    <w:p>
      <w:pPr/>
      <w:r>
        <w:rPr/>
        <w:t xml:space="preserve">Wiedza z zakresu modelowania obiektów nieliniowych za pomocą modeli rozmytych.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SZAU_W02: </w:t>
      </w:r>
    </w:p>
    <w:p>
      <w:pPr/>
      <w:r>
        <w:rPr/>
        <w:t xml:space="preserve">Wiedza na temat zastosowania modeli rozmytych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SZAU_W03: </w:t>
      </w:r>
    </w:p>
    <w:p>
      <w:pPr/>
      <w:r>
        <w:rPr/>
        <w:t xml:space="preserve">Wiedza z zakresu modelowania obiektów nieliniowych za pomocą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SZAU_W04: </w:t>
      </w:r>
    </w:p>
    <w:p>
      <w:pPr/>
      <w:r>
        <w:rPr/>
        <w:t xml:space="preserve">Wpisz opisWiedza na temat zastosowania modeli neuronowych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SZAU_W05: </w:t>
      </w:r>
    </w:p>
    <w:p>
      <w:pPr/>
      <w:r>
        <w:rPr/>
        <w:t xml:space="preserve">Wiedza na temat zastosowania algorytmów genetycznych do modelowania obiektów nieliniowych i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SZAU_U01: </w:t>
      </w:r>
    </w:p>
    <w:p>
      <w:pPr/>
      <w:r>
        <w:rPr/>
        <w:t xml:space="preserve">Umiejętność modelowania obiektu nieliniowego za pomocą modelu rozmytego.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SZAU_U02: </w:t>
      </w:r>
    </w:p>
    <w:p>
      <w:pPr/>
      <w:r>
        <w:rPr/>
        <w:t xml:space="preserve">Umiejętność zaprojektowania algorytmu regulacji bazującego na rozmytym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SZAU_U03: </w:t>
      </w:r>
    </w:p>
    <w:p>
      <w:pPr/>
      <w:r>
        <w:rPr/>
        <w:t xml:space="preserve">Umiejętność modelowania obiektu nieliniowego za pomocą sieci neuronowej.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SZAU_U04: </w:t>
      </w:r>
    </w:p>
    <w:p>
      <w:pPr/>
      <w:r>
        <w:rPr/>
        <w:t xml:space="preserve">Umiejętność zaprojektowania algorytmu regulacji bazującego na neuronowym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SZAU_U05: </w:t>
      </w:r>
    </w:p>
    <w:p>
      <w:pPr/>
      <w:r>
        <w:rPr/>
        <w:t xml:space="preserve">Umiejętność wykorzystania algorytmu genetycznego do modelowania obiektów nieliniowych i do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2026-10-03T19:06:41+02:00</dcterms:created>
  <dcterms:modified xsi:type="dcterms:W3CDTF">2026-10-03T19:06:41+02:00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