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projektem dyplomowym 485 godz.
Łączny nakład pracy studenta: 500 godz., co odpowiada 20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19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PDYM_W01: </w:t>
      </w:r>
    </w:p>
    <w:p>
      <w:pPr/>
      <w:r>
        <w:rPr/>
        <w:t xml:space="preserve">Znajomość podstawowych metod, technik i narzędzi do rozwiązywania złożonych zadań inżynierskich lub zadań badawczych w wybranych zastosowaniach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 lub jej fragmentów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PDYM_U01: </w:t>
      </w:r>
    </w:p>
    <w:p>
      <w:pPr/>
      <w:r>
        <w:rPr/>
        <w:t xml:space="preserve">Umiejętność pozyskiwania informacji z literatury, baz danych oraz innych źródeł, integracji informacji, interpretacji oraz wyciągania wniosków i formułowania opinii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 lub jej fragmentów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PDYM_U02: </w:t>
      </w:r>
    </w:p>
    <w:p>
      <w:pPr/>
      <w:r>
        <w:rPr/>
        <w:t xml:space="preserve">Umiejętność oceny przydatności i wyboru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 lub jej fragmentów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PDYM_U03: </w:t>
      </w:r>
    </w:p>
    <w:p>
      <w:pPr/>
      <w:r>
        <w:rPr/>
        <w:t xml:space="preserve">Umiejętność planowania i przeprowadzania eksperymentów, w tym pomiarów i
symulacji komputerowych, umiejętność interpretacji uzyskanych wyników i wyciągnięcia wniosków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 lub jej fragmentów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K_U10, K_U11, K_U16,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PDYM_U04: </w:t>
      </w:r>
    </w:p>
    <w:p>
      <w:pPr/>
      <w:r>
        <w:rPr/>
        <w:t xml:space="preserve">Umiejętność przygotowania opracowania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 lub jej fragmentów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T2A_U02, T2A_U03, T2A_U07, T2A_U11, T2A_U15, 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PDYM_K01: </w:t>
      </w:r>
    </w:p>
    <w:p>
      <w:pPr/>
      <w:r>
        <w:rPr/>
        <w:t xml:space="preserve">Umiejętność zaplanowania i zrealizowania zadania związanego z realizacją pracowni problemowej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2026-05-30T05:46:10+02:00</dcterms:created>
  <dcterms:modified xsi:type="dcterms:W3CDTF">2026-05-30T05:46:10+02:00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