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185 godz.
Łączny nakład pracy studenta: 200 godz., co odpowiada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studenta, sprawozdanie.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Znajomość podstawowych metod, technik i narzędzi do rozwiązywania złożonych zadań inżynierskich lub zadań badawczych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Umiejętność oceny przydatności i wyboru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PDMGR_U04: </w:t>
      </w:r>
    </w:p>
    <w:p>
      <w:pPr/>
      <w:r>
        <w:rPr/>
        <w:t xml:space="preserve">Umiejętność przygotowania opracowania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T2A_U02, T2A_U03, T2A_U07, T2A_U11, T2A_U15,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2026-07-26T10:55:10+02:00</dcterms:created>
  <dcterms:modified xsi:type="dcterms:W3CDTF">2026-07-26T10:55:10+02:00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