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biologia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Historia i podstawy prawne funkcjonowania Państwowego Monitoringu Środowiska.  Struktura organizacyjna PMŚ i struktura funkcjonalna realizowana w oparciu o model DPISR. 
Funkcjonowanie bloku jakości środowiska – monitoring hałasu, promieniowania jonizującego, pól elektromagnetycznych. Realizowane zadania, zasady tworzenia sieci, podstawowe metody pomiarowe, raporty o poziomie zanieczyszczeń.
Funkcjonowanie bloku jakości środowiska-monitoring powietrza. Realizowane zadania, zasady tworzenia sieci, podstawowe metody pomiarowe, raporty o poziomie zanieczyszczeń.
Funkcjonowanie bloku jakości środowiska obejmujące monitoring środowiska wodnego ze szczególnym uwzględnieniem aktualnych zadań w związku z wdrażaniem Ramowej Dyrektywy Wodnej. Zasady tworzenia sieci i prowadzenia monitoringu wód powierzchniowych i podziemnych.. Zasady interpretacja danych dotyczących elementów jakości stanu chemicznego, biologicznego i hydomorfologicznego . Ocena stanu wód
Funkcjonowanie bloku jakości środowiska - zadania monitoringu przyrody ze szczególnym uwzględnieniem obszarów Natura 2000 i  siecią stacji monitoringu zintegrowanego.
Blok presje. Organizacja strumieni informacji gromadzonych w tym bloku tj. dotyczących odpadów, emisji do wód i powietrza.  
Blok oceny i prognozy. Struktura i organizacja systemu informatycznego PMŚ
Podstawy prawne funkcjonowania Państwowego Monitoringu Środowiska. Struktura organizacyjna PMŚ i struktura funkcjonalna realizowana w oparciu o model DPISR.
Zapoznanie się ze specyfiką pracy i zapleczem laboratoryjnym Wojewódzkiego Inspektoratu Ochrony Środowiska w Warszawie oraz jego delegatur.
Zasady tworzenia sieci i prowadzenia monitoringu środowiska wodnego Wykonanie oceny stanu wód wybranej części wód powierzchniowych na podstawie elementów jakości stanu chemicznego, biologicznego i hydomorfologicznego . 
Konwencje międzynarodowe dotyczące powietrza atmosferycznego i zanieczyszczeń transgranicznych . Monitoring powietrza – opracowywanie  raportów o poziomie zanieczyszczeń. Obliczanie rozprzestrzeniania się zanieczyszczeń w atmosferze metodą referencyjną.
Konwencje międzynarodowe dotyczące ochrony morza Bałtyckiego.
Monitoring wód przejściowych , przybrzeżnych, program monitoringu HELCOM/COMBINE.
Zapoznanie się z modelem matematycznym przepływu i transportu zanieczyszczeń. Wykonanie projektu sieci i opracowanie programu monitoringu diagnostycznego i operacyjnego dla wybranej zlewni rzecznej w oparciu o wyniki jakości wody generowane przez model.  
Monitoring wód  – zajęcia terenowe, pomiar zwierciadła wód podziemnych i jakości wód
Monitoring lasu – zajęcia terenowe, wykonywanie pomiarów dendrometrycznych, zdjęć fitosocjologicznych
Automatyczny monitoring jakości wód powierzchniowych – zapoznanie z budową i funkcjonowaniem stacji pomiarowej
Wykorzystanie modelowania matematycznego do analizy wyników pomiarów prowadzonych w ramach sieci monitoringu
Systemy wczesnego ostrzegania – zasady funkcjonowania systemów wykorzystujących dane pomiarowe i modelowanie matematyczne do prognozowania potencjalnych zagrożeń
</w:t>
      </w:r>
    </w:p>
    <w:p>
      <w:pPr>
        <w:keepNext w:val="1"/>
        <w:spacing w:after="10"/>
      </w:pPr>
      <w:r>
        <w:rPr>
          <w:b/>
          <w:bCs/>
        </w:rPr>
        <w:t xml:space="preserve">Metody oceny: </w:t>
      </w:r>
    </w:p>
    <w:p>
      <w:pPr>
        <w:spacing w:before="20" w:after="190"/>
      </w:pPr>
      <w:r>
        <w:rPr/>
        <w:t xml:space="preserve">Wykłady:Zaliczenie pisemne.
Ćwiczenia:Aktywny udział w ćwiczeniach, zaliczenie zadań.
Laboratoria:Aktywny udział w ćwiczeniach, zaliczenie zadań.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Potrafi dokonać oceny stanu hydromorfologicznego rzeki Potrafi dokonać oceny stanu wód powierzchniowych Potrafi przedstawić ustną prezentację z zakresu prowadzenia monitoringu wybranego komponentu środowiska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K_W07, K_W05</w:t>
      </w:r>
    </w:p>
    <w:p>
      <w:pPr>
        <w:spacing w:before="20" w:after="190"/>
      </w:pPr>
      <w:r>
        <w:rPr>
          <w:b/>
          <w:bCs/>
        </w:rPr>
        <w:t xml:space="preserve">Powiązane efekty obszarowe: </w:t>
      </w:r>
      <w:r>
        <w:rPr/>
        <w:t xml:space="preserve">T1A_W04, P1A_W01, P1A_W04, P1A_W07, T1A_W02, P1A_W01, P1A_W04</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dokonać oceny stanu hyrdomorfologicznego rzeki
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K_U13, K_U10</w:t>
      </w:r>
    </w:p>
    <w:p>
      <w:pPr>
        <w:spacing w:before="20" w:after="190"/>
      </w:pPr>
      <w:r>
        <w:rPr>
          <w:b/>
          <w:bCs/>
        </w:rPr>
        <w:t xml:space="preserve">Powiązane efekty obszarowe: </w:t>
      </w:r>
      <w:r>
        <w:rPr/>
        <w:t xml:space="preserve">T1A_U08, T1A_U09, P1A_U06, P1A_U07, T1A_U13, P1A_U07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 pracować w zespole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 P1A_K01, P1A_K05, P1A_K07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2026-10-21T00:01:34+02:00</dcterms:created>
  <dcterms:modified xsi:type="dcterms:W3CDTF">2026-10-21T00:01:34+02:00</dcterms:modified>
</cp:coreProperties>
</file>

<file path=docProps/custom.xml><?xml version="1.0" encoding="utf-8"?>
<Properties xmlns="http://schemas.openxmlformats.org/officeDocument/2006/custom-properties" xmlns:vt="http://schemas.openxmlformats.org/officeDocument/2006/docPropsVTypes"/>
</file>