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150-MBPOJ-IZP-0405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20 godz.;
b) konsultacje – 1 godz.;
2) Praca własna studenta -  35 godzin, w tym:
a)	 15 godz. – bieżące przygotowywanie się studenta do wykładu;
b)	 5 godz. – studia literaturowe;
c)	 15 godz. – przygotowywanie się studenta do kolokwiów;
3) RAZEM –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20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Wykład. 
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150-MBPOJ-IZP-0405_K_W1: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150-MBPOJ-IZP-0405_K_W2: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keepNext w:val="1"/>
        <w:spacing w:after="10"/>
      </w:pPr>
      <w:r>
        <w:rPr>
          <w:b/>
          <w:bCs/>
        </w:rPr>
        <w:t xml:space="preserve">Efekt 150-MBPOJ-IZP-0405_K_W3: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150-MBPOJ-IZP-0405_K_U1: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150-MBPOJ-IZP-0405_K_U2: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150-MBPOJ-IZP-0405_K_K1: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2026-10-19T13:32:47+02:00</dcterms:created>
  <dcterms:modified xsi:type="dcterms:W3CDTF">2026-10-19T13:32:47+02:00</dcterms:modified>
</cp:coreProperties>
</file>

<file path=docProps/custom.xml><?xml version="1.0" encoding="utf-8"?>
<Properties xmlns="http://schemas.openxmlformats.org/officeDocument/2006/custom-properties" xmlns:vt="http://schemas.openxmlformats.org/officeDocument/2006/docPropsVTypes"/>
</file>