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ds. Studiów Niestacjonarnych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- 100 godz. projektu.
2) Praca własna studenta – 285 godz., w tym:
a) studia literaturowe: 60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4 punkty ECTS – 100 godz.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- 385 godzin pracy studenta, w tym: 
a) udział w ćwiczeniach projektowych - 100 godzin;
b) praca nad przygotowaniem pracy dyplomowej – 225 godzin;
c)  studia literaturowe: 60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
Ma podstawową wiedzę w zakresie budowy maszyn i pojazdów; orientuje się w ich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KMiBM_U11, KMiBM_U14, KMiBM_U21,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T1A_U13, T1A_U12, T1A_U14, T1A_U16, InzA_U04, T1A_U03, InzA_U02,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1150-MB000-IZP-0420_U3: </w:t>
      </w:r>
    </w:p>
    <w:p>
      <w:pPr/>
      <w:r>
        <w:rPr/>
        <w:t xml:space="preserve">Potrafi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KMiBM_U03, KMiBM_U04,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InzA_U06, T1A_U12, InzA_U06, T1A_U01, T1A_U02, T1A_U07, InzA_U05</w:t>
      </w:r>
    </w:p>
    <w:p>
      <w:pPr>
        <w:keepNext w:val="1"/>
        <w:spacing w:after="10"/>
      </w:pPr>
      <w:r>
        <w:rPr>
          <w:b/>
          <w:bCs/>
        </w:rPr>
        <w:t xml:space="preserve">Efekt 1150-MB000-IZP-0420_U4: </w:t>
      </w:r>
    </w:p>
    <w:p>
      <w:pPr/>
      <w:r>
        <w:rPr/>
        <w:t xml:space="preserve">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KMiBM_U21, KMiBM_U22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1150-MB000-IZP-0420_K1: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KMiBM_K04,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InzA_K02,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2025-05-07T16:26:11+02:00</dcterms:created>
  <dcterms:modified xsi:type="dcterms:W3CDTF">2025-05-07T16:26:11+02:00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