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1150-MTKIN-ISP-0405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30 godz. wykładu. 
2) Praca własna studenta 
a) 20 godz. – studia literaturowe,
b) 30 godz. – przygotowywanie się do kolokwium z wykładów/prezentacji,
3) RAZEM – 80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ECTS– 30 godz. wykładu.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Konstrukcyjne,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nowoczesnych materiałów o sterowanych właściwościach stosowanych w budowie pojazdów i maszyn roboczych. Podbudowa teoretyczna dotyczącej materiałów posłuży do zrozumienia działania aktywnych i adaptacyjnych urządzeń w pojazdach samochodowych. 
Zdobycie umiejętności pozyskiwania informacji z literatury oraz innych właściwie dobranych źródeł w zakresie przedmiotu. Zdobyte umiejętności pozwolą integrować uzyskane informacje, dokonywać ich interpretacji, a także wyciągać wnioski oraz formułować i uzasadniać opinie w zakresie zastosowania materiałów inteligentnych stosowanych w pojazdach lub maszynach.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wstępne związane z podziałem materiałów inteligentnych.
2. Omówienie cieczy magneto-reologicznych - zjawiska zachodzące w cieczach.
3. Ciecze elektro-reologiczne i ich właściwości.
4. Zastosowanie cieczy inteligentnych do tłumików drgań.
5. Wykorzystanie materiałów piezoelektrycznych w układach diagnostycznych oraz do tłumienia drgań. 
6. Właściwości sterowanych kompozytów elastomerowych oraz ich aplikacje. 
7. Specyfika materiałów z pamięcią kształtu oraz możliwości aplikacji SMA    
8. Przedstawienie materiałów magnetostrykcyjnych – kierunki rozwoju.  
9. Metody badawcze stosowane do materiałów inteligentnych.   
10. Kompozyty magneto- i elektro-reologiczne – właściwości i aplikacje.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I część - 1 kolokwium (sprawdzian pisemny).
Wykład II część - 1 kolokwium (sprawdzian pisemny) lub prezentacja studencka z zakresu tematyki wykładu.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Sapiński B: Magnetorheological dampers in vibration control. Cracow AGH, 2006. 
2. Ławniczak A., Milecki A.: Ciecze elektro- i magnetoreologiczne oraz ich zastosowanie w technice. Wydawnictwo Politechniki Poznańskiej, 1999.
3. Bajkowski J.: Ciecze i tłumiki magnetoreologiczne. Właściwości, budowa, badania, modelowanie i zastosowania, WKŁ, Warszawa, 2014.
4. Goldasz J., Sapiński B.: Insight into Magnetorheological Shock Absorbers, Springer,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1150-MTKIN-ISP-0405_W01: </w:t>
      </w:r>
    </w:p>
    <w:p>
      <w:pPr/>
      <w:r>
        <w:rPr/>
        <w:t xml:space="preserve">Ma wiedzę z zakresu podstawowych podziałów materiałów inteligentnych.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pisemny/
Prezentacja,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1150-MTKIN-ISP-0405_W02: </w:t>
      </w:r>
    </w:p>
    <w:p>
      <w:pPr/>
      <w:r>
        <w:rPr/>
        <w:t xml:space="preserve">Ma wiedzę z zakresu wykorzystania materiałów inteligentnych z uwagi na ich właściwości w wibroizolacji i dynamicznej redukcji drgań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pisemny/
Prezentacja,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1150-MTKIN-ISP-0405_U01: </w:t>
      </w:r>
    </w:p>
    <w:p>
      <w:pPr/>
      <w:r>
        <w:rPr/>
        <w:t xml:space="preserve">Potrafi określić podstawowe cechy urządzeń wykorzystujących materiały inteligentne.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pisemny/
Prezentacja,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1150-MTKIN-ISP-0405_U02: </w:t>
      </w:r>
    </w:p>
    <w:p>
      <w:pPr/>
      <w:r>
        <w:rPr/>
        <w:t xml:space="preserve">Zna cechy charakterystyczne materiałów i podstawowe parametry wykorzystywane w aplikacji do urządzeń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pisemny/
Prezentacja,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KMchtr_U17, KMchtr_U18, KMchtr_U19,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T1A_U08, T1A_U09, T1A_U15, T1A_U16, T1A_U12, T1A_U16, InzA_U04,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1150-MTKIN-ISP-0405_U03: </w:t>
      </w:r>
    </w:p>
    <w:p>
      <w:pPr/>
      <w:r>
        <w:rPr/>
        <w:t xml:space="preserve">Nabył umiejętność samodzielnego pozyskiwania wiedzy w zakresie problemów związanych z zastosowaniem materiałów inteligentnych w technice oraz potrafi wyznaczyć kierunki samodzielnego 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1150-MTKIN-ISP-0405_K01: </w:t>
      </w:r>
    </w:p>
    <w:p>
      <w:pPr/>
      <w:r>
        <w:rPr/>
        <w:t xml:space="preserve">Rozumie jaki wpływ jest stosowania materiałów inteligentnych stosowanych w pojazdach i maszynach roboczych i potrafi tę informację przekazywać społeczeństwu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pisemny/
Prezentacja,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2026-04-01T15:38:15+02:00</dcterms:created>
  <dcterms:modified xsi:type="dcterms:W3CDTF">2026-04-01T15:38:15+02:00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