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systemów mechatronicznych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 Krzysztof Szczurowski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1150-MT000-ISP-0337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- 35,
a) projekt - 30 godz.;
b) konsultacje - 5 godz.;
2) Praca własna studenta  – 25 godzin, w tym:
a)	10 godz. –bieżące przygotowywanie się studenta do zajęć, studia literaturowe,
b)	15 godz. – wykonanie projektów.
3) RAZEM – suma godzin pracy własnej i godzin kontaktowych -  60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1,4 punktów ECTS – liczba godzin kontaktowych - 35, w tym:
a) projekt - 30 godz.;
b) konsultacje - 5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-60 godzin, w tym:
a) projekt - 30 godz.;
b) konsultacje - 5 godz.;
c) przygotowanie do wykonania projektu - 10 godz.;
d) wykonanie projektów - 15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dynamiki maszyn, obsługa środowisk MATLAB AmeSim.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praktyczne opanowanie zagadnień związanych z budową układów mechatronicznych ze szczególnym uwzględnieniem układów sterowania..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wykonywane są trzy projekty częściowe: 
1. W ramach pierwszego projektu studenci mają za zadanie wykonać układ sterowania i regulacji w środowisku Matlab-Simulink;
2. Drugi projekt poświęcony jest modelowaniu i doborowi parametrów układu dynamicznego w środowisku AmeSim (budowa modeli opartych na interpretacji fizycznej obiektu);
3. Ostatni z projektów poświęcony jest projektowaniu wspomagania układu napędowego pojazdu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projektów.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pomocnicze umieszczone na stronie przedmiotu Podstawy Projektowania Systemów Mechatronicznych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  Materiały dostępne w intranecie po zalogowaniu. Login i hasło studenci otrzymają na pierwszych zajęciach.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1150-MT000-ISP-0337_W1: </w:t>
      </w:r>
    </w:p>
    <w:p>
      <w:pPr/>
      <w:r>
        <w:rPr/>
        <w:t xml:space="preserve">Student potrafi definiować wymagania dotyczące podstawowych układów mechatronicznych.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KMChtr_W17, KMchtr_W18, KMchtr_W20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InzA_W02, InzA_W05, T1A_W03, T1A_W04, T1A_W07, InzA_W02, T1A_W06</w:t>
      </w:r>
    </w:p>
    <w:p>
      <w:pPr>
        <w:keepNext w:val="1"/>
        <w:spacing w:after="10"/>
      </w:pPr>
      <w:r>
        <w:rPr>
          <w:b/>
          <w:bCs/>
        </w:rPr>
        <w:t xml:space="preserve">Efekt 1150-MT000-ISP-0337_W2: </w:t>
      </w:r>
    </w:p>
    <w:p>
      <w:pPr/>
      <w:r>
        <w:rPr/>
        <w:t xml:space="preserve">Student potrafi dobrać metody modelowania.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KMchtr_W09, 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InzA_W03, T1A_W03, T1A_W04, T1A_W07,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1150-MT000-ISP-0337_U1: </w:t>
      </w:r>
    </w:p>
    <w:p>
      <w:pPr/>
      <w:r>
        <w:rPr/>
        <w:t xml:space="preserve">Student potrafi posługiwać się technikami informacyjno-komunikacyjnymi właściwymi do realizacji zadań typowych dla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InzA_U01, InzA_U02</w:t>
      </w:r>
    </w:p>
    <w:p>
      <w:pPr>
        <w:keepNext w:val="1"/>
        <w:spacing w:after="10"/>
      </w:pPr>
      <w:r>
        <w:rPr>
          <w:b/>
          <w:bCs/>
        </w:rPr>
        <w:t xml:space="preserve">Efekt 1150-MT000-ISP-0337_U2: </w:t>
      </w:r>
    </w:p>
    <w:p>
      <w:pPr/>
      <w:r>
        <w:rPr/>
        <w:t xml:space="preserve">Student potrafi określić priorytety służące realizacji określonego przez siebie lub innych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1150-MT000-ISP-0337_K1: </w:t>
      </w:r>
    </w:p>
    <w:p>
      <w:pPr/>
      <w:r>
        <w:rPr/>
        <w:t xml:space="preserve">Student potrafi pracować indywidualnie i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realizacji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2025-05-12T13:37:36+02:00</dcterms:created>
  <dcterms:modified xsi:type="dcterms:W3CDTF">2025-05-12T13:37:36+02:00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