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Nadwozia pojazdów małoseryjnych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Jan Gierej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1150_MBMPOJ- ISP-404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- 33, w tym: 
a) wykład – 30 godz.;
b) konsultacje – 3 godz.
2) Praca własna studenta - 45 godzin, w tym:
a)	 15 godz. – bieżące przygotowywanie się studenta do wykładu;
b)	 15 godz. – studia literaturowe;
c)	 15 godz. – przygotowywanie się studenta do kolokwiów.
3) RAZEM – 78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1,3 punktu ECTS – liczba godzin kontaktowych - 33, w tym: 
a) wykład – 30 godz.;
b) konsultacje – 3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podstaw konstrukcji maszyn i materiałów konstrukcyjnych(wysłuchanie wykładu: Budowa nadwozi)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 projektowania nadwozi pojazdów małoseryjnych z wykorzystanie nowoczesnych materiałów konstrukcyjnych. Umiejętność doboru materiałów konstrukcyjnych i technologii produkcji do przewidywanej skali produkcji pojazdów.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definicje i klasyfikacja odmian i pochodnych nadwozi. Przepisy międzynarodowe i normy dotyczące nadwozi pojazdów małoseryjnych. Aspekty ekonomiczne budowy nadwozi małoseryjnych. Materiały i technologie stosowane w budowie nadwozi małoseryjnych. Budowa struktur kompozytowych, CFK i ram przestrzennych. Nadwozia samochodów ciężarowych, autobusów, pojazdów elektrycznych, naczep i nadwozia wagonowe. Nadwozia samochodów sportowych.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zaliczany jest na podstawie 2 kolokwiów.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Pawłowski J.: Nadwozia Samochodowe. Funkcja użytkowa i struktura nośna. WKiŁ 1978.
2.	Zieliński A.: Konstrukcja nadwozi samochodów osobowych i pochodnych. WKŁ 2008.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1150_MBMPOJ- ISP-404_W1: </w:t>
      </w:r>
    </w:p>
    <w:p>
      <w:pPr/>
      <w:r>
        <w:rPr/>
        <w:t xml:space="preserve">Ma uporządkowaną wiedzę z zakresu konstrukcji małoseryjnych nadwozi pojazdów samochodowych.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KMiBM_W19, KMiBM_W17, KMiBM_W18, KMiBM_W20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T1A_W02, T1A_W03, T1A_W06, InzA_W02, InzA_W05, T1A_W02, T1A_W03, T1A_W07, T1A_W02, T1A_W03, T1A_W08</w:t>
      </w:r>
    </w:p>
    <w:p>
      <w:pPr>
        <w:keepNext w:val="1"/>
        <w:spacing w:after="10"/>
      </w:pPr>
      <w:r>
        <w:rPr>
          <w:b/>
          <w:bCs/>
        </w:rPr>
        <w:t xml:space="preserve">Efekt 1150_MBMPOJ- ISP-404_W2: </w:t>
      </w:r>
    </w:p>
    <w:p>
      <w:pPr/>
      <w:r>
        <w:rPr/>
        <w:t xml:space="preserve">Zna wymagania normatywne i uwarunkowania ekonomiczne produkcji małoseryjnej nadwozi.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KMiBM_W19, KMiBM_W17, KMiBM_W18, KMiBM_W20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T1A_W02, T1A_W03, T1A_W06, InzA_W02, InzA_W05, T1A_W02, T1A_W03, T1A_W07, T1A_W02, T1A_W03, T1A_W08</w:t>
      </w:r>
    </w:p>
    <w:p>
      <w:pPr>
        <w:keepNext w:val="1"/>
        <w:spacing w:after="10"/>
      </w:pPr>
      <w:r>
        <w:rPr>
          <w:b/>
          <w:bCs/>
        </w:rPr>
        <w:t xml:space="preserve">Efekt 1150_MBMPOJ- ISP-404_W3: </w:t>
      </w:r>
    </w:p>
    <w:p>
      <w:pPr/>
      <w:r>
        <w:rPr/>
        <w:t xml:space="preserve">Posiada wiedzę o różnych typach struktur stosowanych w produkcji nadwozi małoseryjnych.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KMiBM_W19, KMiBM_W17, KMiBM_W18, KMiBM_W20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T1A_W02, T1A_W03, T1A_W06, InzA_W02, InzA_W05, T1A_W02, T1A_W03, T1A_W07, T1A_W02, T1A_W03, T1A_W08</w:t>
      </w:r>
    </w:p>
    <w:p>
      <w:pPr>
        <w:keepNext w:val="1"/>
        <w:spacing w:after="10"/>
      </w:pPr>
      <w:r>
        <w:rPr>
          <w:b/>
          <w:bCs/>
        </w:rPr>
        <w:t xml:space="preserve">Efekt 1150_MBMPOJ- ISP-404_W4: </w:t>
      </w:r>
    </w:p>
    <w:p>
      <w:pPr/>
      <w:r>
        <w:rPr/>
        <w:t xml:space="preserve">Posiada wiedzę o zasadach doboru współczesnych materiałów konstrukcyjnych do produkcji małoseryjnych nadwozi samochodowych.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KMiBM_W19, KMiBM_W17, KMiBM_W18, KMiBM_W20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T1A_W02, T1A_W03, T1A_W06, InzA_W02, InzA_W05, T1A_W02, T1A_W03, T1A_W07, T1A_W02, T1A_W03, T1A_W08</w:t>
      </w:r>
    </w:p>
    <w:p>
      <w:pPr>
        <w:keepNext w:val="1"/>
        <w:spacing w:after="10"/>
      </w:pPr>
      <w:r>
        <w:rPr>
          <w:b/>
          <w:bCs/>
        </w:rPr>
        <w:t xml:space="preserve">Efekt 1150_MBMPOJ- ISP-404_W5: </w:t>
      </w:r>
    </w:p>
    <w:p>
      <w:pPr/>
      <w:r>
        <w:rPr/>
        <w:t xml:space="preserve">Posiada wiedzę o sposobach wytwarzania i łączenia współczesnych materiałów konstrukcyjnych stosowanych w budowie małoseryjnych nadwozi.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KMiBM_W19, KMiBM_W17, KMiBM_W18, KMiBM_W20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T1A_W02, T1A_W03, T1A_W06, InzA_W02, InzA_W05, T1A_W02, T1A_W03, T1A_W07, T1A_W02, T1A_W03,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1150_MBMPOJ- ISP-404_U1: </w:t>
      </w:r>
    </w:p>
    <w:p>
      <w:pPr/>
      <w:r>
        <w:rPr/>
        <w:t xml:space="preserve">Potrafi sformułować stosowne kryteria projektowe dla danego etapu projektowania nadwozia.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KMiBM_U15, KMiBM_U16, KMiBM_U17, KMiBM_U18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T1A_U11, T1A_U12, InzA_U06, InzA_U08, T1A_U08, T1A_U09, T1A_U10, T1A_U08, T1A_U09, T1A_U15, T1A_U10, T1A_U13, T1A_U16</w:t>
      </w:r>
    </w:p>
    <w:p>
      <w:pPr>
        <w:keepNext w:val="1"/>
        <w:spacing w:after="10"/>
      </w:pPr>
      <w:r>
        <w:rPr>
          <w:b/>
          <w:bCs/>
        </w:rPr>
        <w:t xml:space="preserve">Efekt 1150_MBMPOJ- ISP-404_U2: </w:t>
      </w:r>
    </w:p>
    <w:p>
      <w:pPr/>
      <w:r>
        <w:rPr/>
        <w:t xml:space="preserve">Ma świadomość przyjętych założeń konstrukcyjnych na zakres prac niezbędnych dla wykonania projektu wstępnego nadwozia.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KMiBM_U15, KMiBM_U16, KMiBM_U17, KMiBM_U18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T1A_U11, T1A_U12, InzA_U06, InzA_U08, T1A_U08, T1A_U09, T1A_U10, T1A_U08, T1A_U09, T1A_U15, T1A_U10, T1A_U13, T1A_U16</w:t>
      </w:r>
    </w:p>
    <w:p>
      <w:pPr>
        <w:keepNext w:val="1"/>
        <w:spacing w:after="10"/>
      </w:pPr>
      <w:r>
        <w:rPr>
          <w:b/>
          <w:bCs/>
        </w:rPr>
        <w:t xml:space="preserve">Efekt 1150_MBMPOJ- ISP-404_U3: </w:t>
      </w:r>
    </w:p>
    <w:p>
      <w:pPr/>
      <w:r>
        <w:rPr/>
        <w:t xml:space="preserve">Potrafi dobrać materiały konstrukcyjne elementów nadwozia, tak by konstrukcja spełniała funkcje użytkowe, normatywne i ekonomiczne.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KMiBM_U15, KMiBM_U16, KMiBM_U17, KMiBM_U18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T1A_U11, T1A_U12, InzA_U06, InzA_U08, T1A_U08, T1A_U09, T1A_U10, T1A_U08, T1A_U09, T1A_U15, T1A_U10, T1A_U13,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1150_MBMPOJ- ISP-404_K1: </w:t>
      </w:r>
    </w:p>
    <w:p>
      <w:pPr/>
      <w:r>
        <w:rPr/>
        <w:t xml:space="preserve">Ma świadomość wagi przyjętych założeń na wykonalność konstrukcji oraz potrzebę weryfikacji przyjętych założeń.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InzA_K01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2025-05-10T19:40:43+02:00</dcterms:created>
  <dcterms:modified xsi:type="dcterms:W3CDTF">2025-05-10T19:40:43+02:00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