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1150-MBWIB-ISP-0406</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a) wykład - 30 godz.;
b) konsultacje - 1 godz.;
2) Praca własna studenta - 25 godz.,
a) studia literaturowe - 15 godz.;
b) przygotowanie do kolokwium - 10 godz.;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1150-MBWIB-ISP-0406_W01: </w:t>
      </w:r>
    </w:p>
    <w:p>
      <w:pPr/>
      <w:r>
        <w:rPr/>
        <w:t xml:space="preserve">Ma uporządkowaną, podbudowaną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1150-MBWIB-ISP-0406_W02: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KMiBM_W08</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1150-MBWIB-ISP-0406_U01: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pStyle w:val="Heading3"/>
      </w:pPr>
      <w:bookmarkStart w:id="4" w:name="_Toc4"/>
      <w:r>
        <w:t>Profil ogólnoakademicki - kompetencje społeczne</w:t>
      </w:r>
      <w:bookmarkEnd w:id="4"/>
    </w:p>
    <w:p>
      <w:pPr>
        <w:keepNext w:val="1"/>
        <w:spacing w:after="10"/>
      </w:pPr>
      <w:r>
        <w:rPr>
          <w:b/>
          <w:bCs/>
        </w:rPr>
        <w:t xml:space="preserve">Efekt 1150-MBWIB-ISP-0406_K1: </w:t>
      </w:r>
    </w:p>
    <w:p>
      <w:pPr/>
      <w:r>
        <w:rPr/>
        <w:t xml:space="preserve">Jest świadom zagrożeń wibroakustycznych występujących w środowisku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 KMiBM_K06</w:t>
      </w:r>
    </w:p>
    <w:p>
      <w:pPr>
        <w:spacing w:before="20" w:after="190"/>
      </w:pPr>
      <w:r>
        <w:rPr>
          <w:b/>
          <w:bCs/>
        </w:rPr>
        <w:t xml:space="preserve">Powiązane efekty obszarowe: </w:t>
      </w:r>
      <w:r>
        <w:rPr/>
        <w:t xml:space="preserve">T1A_K02, InzA_K01,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2026-08-14T20:46:59+02:00</dcterms:created>
  <dcterms:modified xsi:type="dcterms:W3CDTF">2026-08-14T20:46:59+02:00</dcterms:modified>
</cp:coreProperties>
</file>

<file path=docProps/custom.xml><?xml version="1.0" encoding="utf-8"?>
<Properties xmlns="http://schemas.openxmlformats.org/officeDocument/2006/custom-properties" xmlns:vt="http://schemas.openxmlformats.org/officeDocument/2006/docPropsVTypes"/>
</file>