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Pomiary drgań maszyny.
2. Pomiary hałasu maszyny.
3. Wyznaczanie mocy akustycznej źródła hałasu.
4. Lokalizacja źródeł hałasu metodą pomiarów skalarnych.
5. Lokalizacja źródeł hałasu metodą wektorową z wykorzystaiem sondy natężenia dźwięku.
6. 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podstawowych zadań wibroakustyki związanycyh z zagadnieniami minimalizacji hałasu i drgań: maszyn, urządzeń, procesów technologicznych i transportowych, procesów kształtowania ich pożądanych charakterystyk oraz zagadnień diagnostyki wibroakustycznej.
2. Relacja sygnał-model jako podstawa defiiowania zadań wibroakustycznych.
3. Modele wibroakustyczne typowych maszyn i zespołów. Metody inwersyjne i wzajemne w wibroakustyce maszyn. Praktyczne zagadnienia techniczne.
4. 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propoagacji.
5. Ograniczenia emisji na określone obszary środowiska. Hałas i drgania wybranych maszyn i urządzeń. Badania i analiza procesów wibroakustycznych zachodzących w maszynach i urządzeniach.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1150-BMWIB-ISP-0321_W1: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1150-BMWIB-ISP-0321_W2: </w:t>
      </w:r>
    </w:p>
    <w:p>
      <w:pPr/>
      <w:r>
        <w:rPr/>
        <w:t xml:space="preserve">Rozumie podstawowe zasady propagacji energii drgań i hałasu w maszynach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1150-BMWIB-ISP-0321_U1: </w:t>
      </w:r>
    </w:p>
    <w:p>
      <w:pPr/>
      <w:r>
        <w:rPr/>
        <w:t xml:space="preserve">Zna podstawowe zasady dotyczące relacji model matematyczny-sygnał rzeczywisty; Potrafi zidentyfikować główne źródła energii wibroakustycznej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T1A_U08, InzA_U01,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1150-BMWIB-ISP-0321_K1: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1150-MBWIB-ISP-0321_K2: </w:t>
      </w:r>
    </w:p>
    <w:p>
      <w:pPr/>
      <w:r>
        <w:rPr/>
        <w:t xml:space="preserve">Jest świadom zagrożeń wibroakustycznych występujących w środowisku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2026-09-28T04:03:55+02:00</dcterms:created>
  <dcterms:modified xsi:type="dcterms:W3CDTF">2026-09-28T04:03:55+02:00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