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1150-MB000-ISP-0317</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a) wykład – 30 godz.;
b) laboratorium – 30 godz.
c) konsultacje – 2 godz.;
d) egzamin – 2 godz.;
2) Praca własna studenta – 40 godzin, w tym:
a) 5 godz. – bieżące przygotowanie studenta do wykładu,
b) 15 godz. – bieżące przygotowanie studenta do laboratorium,
c) 10 godz. – studia literaturowe,
d) 10 godz. – przygotowanie do egzaminu.
3) RAZEM – 104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punktów ECTS – liczba godzin kontaktowych – 64 godz., w tym:
a) wykład – 30 godz.;
b) laboratorium – 30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30 godz. – ćwiczenia laboratoryjne,
b) 15 godz. – bieżące przygotowanie studenta do laboratorium.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1150-MB000-ISP-0317_W2: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T1A_U08, InzA_U01</w:t>
      </w:r>
    </w:p>
    <w:p>
      <w:pPr>
        <w:keepNext w:val="1"/>
        <w:spacing w:after="10"/>
      </w:pPr>
      <w:r>
        <w:rPr>
          <w:b/>
          <w:bCs/>
        </w:rPr>
        <w:t xml:space="preserve">Efekt 1150-MB000-ISP-0317_U2: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2026-10-19T10:58:33+02:00</dcterms:created>
  <dcterms:modified xsi:type="dcterms:W3CDTF">2026-10-19T10:58:33+02:00</dcterms:modified>
</cp:coreProperties>
</file>

<file path=docProps/custom.xml><?xml version="1.0" encoding="utf-8"?>
<Properties xmlns="http://schemas.openxmlformats.org/officeDocument/2006/custom-properties" xmlns:vt="http://schemas.openxmlformats.org/officeDocument/2006/docPropsVTypes"/>
</file>