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konstruowania struktur i powierzchni widzialnych pojazdów. Umiejętność doboru technologii produkcji do rodzaju projektowanych nadwozia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nadwozi. Przepisy międzynarodowe i normy dotyczące nadwozi pojazdów samochodowych. Algorytm rozwoju konstrukcji. Aspekty ekonomiczne budowy nadwozi pojazdów samochodowych. Ergonomia i stawiane wymagania względem przeznaczenia pojazdu. Package - rozplanowanie i założenia wymiarowe nadwozia. Zjawiska aerodynamiczne w opływie nadwozia pojazdu. Zapewnienie komfortu i bezpieczeństwa kierowcy i pasażerom pojazdu. Wprowadzenie do stylistyki nadwozi. Przedstawienie poszczególnych modułów nadwozia i omówienie spełnianych funkcji. Materiały i technologie stosowane w budowie nadwozi ultralekkich. Budowa struktury nadwozi pojazdów. Funkcje elementów wyposażenia wewnętrznego.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11500-00000-ISP-0407_W1: </w:t>
      </w:r>
    </w:p>
    <w:p>
      <w:pPr/>
      <w:r>
        <w:rPr/>
        <w:t xml:space="preserve">Ma podbudowaną teoretycznie wiedzę dotyczącą konstrukcji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11500-00000-ISP-0407_W2: </w:t>
      </w:r>
    </w:p>
    <w:p>
      <w:pPr/>
      <w:r>
        <w:rPr/>
        <w:t xml:space="preserve">Posiada wiedzę o konstrukcji współczesnych ultralekkich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keepNext w:val="1"/>
        <w:spacing w:after="10"/>
      </w:pPr>
      <w:r>
        <w:rPr>
          <w:b/>
          <w:bCs/>
        </w:rPr>
        <w:t xml:space="preserve">Efekt 11500-00000-ISP-0407_W3: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T1A_W03, T1A_W06, T1A_W08, InzA_W01,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11500-00000-ISP-0407_U1: </w:t>
      </w:r>
    </w:p>
    <w:p>
      <w:pPr/>
      <w:r>
        <w:rPr/>
        <w:t xml:space="preserve">Potrafi ocenić konstrukcję nadwozi wg przedstawionych klasyfikacji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11500-00000-ISP-0407_U2: </w:t>
      </w:r>
    </w:p>
    <w:p>
      <w:pPr/>
      <w:r>
        <w:rPr/>
        <w:t xml:space="preserve">Potrafi zaplanować budowę nadwozia pojazdu z wyznaczeniem głównych założeń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11500-00000-ISP-0407_U3: </w:t>
      </w:r>
    </w:p>
    <w:p>
      <w:pPr/>
      <w:r>
        <w:rPr/>
        <w:t xml:space="preserve">Potrafi  ocenić wpływ założeń konstrukcyjnych struktury na klasę i rodzaj nadwozia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11500-00000-ISP-0407_K1: </w:t>
      </w:r>
    </w:p>
    <w:p>
      <w:pPr/>
      <w:r>
        <w:rPr/>
        <w:t xml:space="preserve">Ma świadomość przyjętych wstępnych założeń konstrukcyjnych nadwozia na klasę i rodzaj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11500-00000-ISP-0407_K2: </w:t>
      </w:r>
    </w:p>
    <w:p>
      <w:pPr/>
      <w:r>
        <w:rPr/>
        <w:t xml:space="preserve">Ma świadomość wagi odniesienia badań na modelach nadwozia do obiektów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2026-09-27T08:47:25+02:00</dcterms:created>
  <dcterms:modified xsi:type="dcterms:W3CDTF">2026-09-27T08:47:25+02:00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