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elektroenergetyczne (Smart Grid)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Iwański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- 15
a) wykład - 15godz.
2) Praca własna studenta
15 godz.
3) RAZEM – suma godzin pracy własnej i godzin kontaktowych.  
30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punktów ECTS – liczba godzin kontaktowych - 15, w tym:
a) wykład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energoelektroniki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nt.: rodzajów i właściwości odnawialnych źródeł energii (OZE); właściwości magazynów energii (ME); sposobu sterowania rozpływem mocy w energetyce rozproszonej; infrastruktury ładowania baterii pojazdów elektrycznych i hybrydowych; słownictwa z zakresu energetyki rozproszonej i teorii sterowania; oceny przydatności OZE oraz ME w rozproszonych systemach energetycznych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Wymagania energetyczne w budowie infrastruktury - ładowanie akumulatorów w pojazdach elektrycznych i hybrydowych; Udział alternatywnej energetyki w infrastrukturze pojazdów elektrycznych i hybrydowych; Fotowoltaiczne systemy energetyczne; Systemy energetyki wiatrowej; Akumulacje energii w sieci energetycznej; Stabilizacja mocy oraz częstotliwości w układach z akumulacją energii; Sterowanie rozpływem mocy w energetyce rozproszonej; Sterowanie częstotliwością w energetyce rozproszonej; Energetyka rozproszona w małej skali; Budowa infrastruktury pojazdów elektrycznych i hybrydowych w systemie energetyki rozproszonej;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sprawdzające. Ocena odpowiedzi na cztery pytania otwarte dotyczące zagadnień poruszanych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Srzelecki, G. Benysek: Power Electronics in Smart Electrical Energy Networks, Springer London, 2008.
2. Zbiór wybranych publikacji konferencyjnych i artykułów z czasopism technicznych związanych z tematem przedmiotu przygotowany i udostępniony studentom.
3. Materiały z Wykładu w formie prezentacji multimedialnych oraz plików pdf.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1150-PE000-ISP-305_W1: </w:t>
      </w:r>
    </w:p>
    <w:p>
      <w:pPr/>
      <w:r>
        <w:rPr/>
        <w:t xml:space="preserve">Posiada wiedze o rodzajach i właściwościach odnawialnych źródeł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1150-PE000-ISP-0315_W2: </w:t>
      </w:r>
    </w:p>
    <w:p>
      <w:pPr/>
      <w:r>
        <w:rPr/>
        <w:t xml:space="preserve">Posiada wiedzę o rodzajach i właściwościach magazynów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Dysponuje wiedzą na temat sterowania rozpływem mocy w energetyce rozproszonej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1150-PE000-ISP-0315_W4: </w:t>
      </w:r>
    </w:p>
    <w:p>
      <w:pPr/>
      <w:r>
        <w:rPr/>
        <w:t xml:space="preserve">Posiada wiedzę na temat wymaganej infrastruktury dla pojazdów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1150-PE000-ISP-305_U1: </w:t>
      </w:r>
    </w:p>
    <w:p>
      <w:pPr/>
      <w:r>
        <w:rPr/>
        <w:t xml:space="preserve">Ma świadomość roli odnawialnych źródeł energii w nowoczesnych systemach elektroenergetycznych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2026-10-19T14:05:50+02:00</dcterms:created>
  <dcterms:modified xsi:type="dcterms:W3CDTF">2026-10-19T14:05:50+02:00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