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a) wykład -  30 godz.;
b) ćwiczenia - 15 godz.;
c) laboratorium- 15 godz.;
d) konsultacje - 2  godz.;
2) Praca własna studenta - 55
a) Studia literaturowe, wykład  - 15 godz.;
b) Studia literaturowe, ćwiczenia - 15 godz.;
c) Przygotowanie do zajęć, laboratorium - 5 godz.;
d) Sprawozdania, laboratorium - 10 godz.
e) Przygotowywanie się studenta do kolokwiów - 10 godz.
3) RAZEM – 117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punktów ECTS – liczba godzin kontaktowych - 62, w tym:
a) wykład - 30 godz.;
b) ćwiczenia - 15 godz.;
c) laboratorium- 15 godz.;
d)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ćwiczenia audytoryjne – 15 godz.;
2) laboratorium - 15 godz.;
3) studia literaturowe, ćwiczenia - 15 godz.;
4) przygotowanie do zajęć, laboratorium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Rozwiązywanie problemów technicznych w oparciu o teorię silników cieplnych. 
U: Umiejętność zastosowania teorii silników cieplnych do opisu zjawisk fizycznych oraz modelowania matematycznego wymiany ciepła w procesach technologicznych.
KS: Umiejętność pracować indywidualnie i w zespole.</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emisja zanieczyszczeń i doładowanie silników,  charakterystyki tłokowych silników spalinowych. 
Ćwiczenia: Prawa gazów doskonałych. Mieszaniny gazów doskonałych, Ciepło właściwe gazów. I zasada termodynamiki, Przemiany charakterystyczne. Obiegi termodynamiczne. Obliczenia cieplne silnika spalinowego.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Warunkiem zaliczenia ćwiczeń audytoryjnych jest uzyskanie pozytywnych ocen z dwóch sprawdzianów pisemnych. Ocena końcowa z ćwiczeń audytoryjnych jest średnią arytmetyczną ocen z sprawdzianów pisemnych. Warunkiem zaliczenia wykładu jest uzyskanie pozytywnej oceny z egzaminu. Warunkiem zaliczenia laboratorium jest uzyskanie pozytywnych ocen z zaliczenia wszystkich ćwiczeń przewidzianych w harmonogramie. Ocena końcowa z laboratorium jest średnią arytmetyczną ocen z poszczególnych ćwiczeń. W zakresie ćwiczeń laboratoryjnych kompetencje ma Kierownik Laboratorium Teorii Silników Cieplnych. Oceny z egzaminu, ćwiczeń laboratoryjnych i ćwiczeń audytoryjnych wpływają na ocenę łączną (zintegrowaną)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Nagórski Z., Sobociński R.: Wybrane zagadnienia z termodynamiki technicznej. Zbiór zadań, Wydawnictwo Politechniki Warszawskiej, Warszawa 2008,
6)	Pomiary cieplne - praca zbiorowa, WNT, Warszawa, 1995,
7)	Szargut J., Guzik A., Górniak H.: Programowany zbiór zadań z termodynamiki technicznej, PWN, Warszawa 1979,
8) Wajand J.: Tłokowe silniki spalinowe średnio- i szybkoobrotowe. Wydawnictwo Naukowo-Techniczne, Warszawa 2005,
9) Luft S.: Podstawy budowy silników. WKŁ Warszawa 2011,
10) Niewiarowski K.: Tłokowe silniki spalinowe, Wydawnictwo Naukowo–Techniczne,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 ISP -0306_W1: </w:t>
      </w:r>
    </w:p>
    <w:p>
      <w:pPr/>
      <w:r>
        <w:rPr/>
        <w:t xml:space="preserve">Potrafi identyfikować procesy związane z teorią silników cieplnych w technice, które z wystarczającą dokładnością można opisywać odpowiednimi modelami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 ISP -0306_W2: </w:t>
      </w:r>
    </w:p>
    <w:p>
      <w:pPr/>
      <w:r>
        <w:rPr/>
        <w:t xml:space="preserve">Potrafi sformułować równania opisujące procesy związane z teorią silników cieplnych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1150-PE000-ISP-0306_U1: </w:t>
      </w:r>
    </w:p>
    <w:p>
      <w:pPr/>
      <w:r>
        <w:rPr/>
        <w:t xml:space="preserve">Potrafi przeprowadzić podstawowe obliczenia niezbędne do odpowiedniego doboru parametrów  w procesach związanych z teorią silników cieplnych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keepNext w:val="1"/>
        <w:spacing w:after="10"/>
      </w:pPr>
      <w:r>
        <w:rPr>
          <w:b/>
          <w:bCs/>
        </w:rPr>
        <w:t xml:space="preserve">Efekt 1150-PE000-ISP-0306_U2: </w:t>
      </w:r>
    </w:p>
    <w:p>
      <w:pPr/>
      <w:r>
        <w:rPr/>
        <w:t xml:space="preserve">Potrafi wykonać proste pomiary w zakresie podstawowych parametrów związanych z silnikami cieplnymi</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1150-PE000-ISP-0306_K1: </w:t>
      </w:r>
    </w:p>
    <w:p>
      <w:pPr/>
      <w:r>
        <w:rPr/>
        <w:t xml:space="preserve">Umie pracować indywidualnie i w zespole</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2026-09-28T01:18:41+02:00</dcterms:created>
  <dcterms:modified xsi:type="dcterms:W3CDTF">2026-09-28T01:18:41+02:00</dcterms:modified>
</cp:coreProperties>
</file>

<file path=docProps/custom.xml><?xml version="1.0" encoding="utf-8"?>
<Properties xmlns="http://schemas.openxmlformats.org/officeDocument/2006/custom-properties" xmlns:vt="http://schemas.openxmlformats.org/officeDocument/2006/docPropsVTypes"/>
</file>