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ds.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75 godz projektu.
2) Praca własna studenta – 35 godz., w tym:
a) studia literaturowe: 10 godz.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liczba godzin kontaktowych -  75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- 110 godzin pracy studenta, w tym: 
a) udział w ćwiczeniach projektowych - 75 godz.;
b) praca nad przygotowaniem projektu – 25 godz.
c) studia literaturowe: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1150-00000-MSP-0521_W1: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1150-00000-MSP-0521_U1: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KMiBM2_U03, KMiBM2_U05, KMiBM2_U08, KMiBM2_U12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T2A_U10, T2A_U11, InzA_U01, T2A_U12, InzA_U02, InzA_U05, T2A_U09, T2A_U10, T2A_U13, InzA_U01, T2A_U18, InzA_U03</w:t>
      </w:r>
    </w:p>
    <w:p>
      <w:pPr>
        <w:keepNext w:val="1"/>
        <w:spacing w:after="10"/>
      </w:pPr>
      <w:r>
        <w:rPr>
          <w:b/>
          <w:bCs/>
        </w:rPr>
        <w:t xml:space="preserve">Efekt 1150-00000-MSP-0521_U2: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T2A_U16, InzA_U03, InzA_U04, InzA_U05, InzA_U06,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1150-00000-MSP-0521_U3: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KMiBM_U17, KMiBM2_U18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T2A_U04, T2A_U02, T2A_U03,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1150-00000-MSP-0521_K1: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2025-06-13T17:59:07+02:00</dcterms:created>
  <dcterms:modified xsi:type="dcterms:W3CDTF">2025-06-13T17:59:07+02:00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