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75 godz projektu.
2) Praca własna studenta – 35 godz., w tym:
a) studia literaturowe: 10 godz.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liczba godzin kontaktowych -  75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- 110 godzin pracy studenta, w tym: 
a) udział w ćwiczeniach projektowych - 75 godz.;
b) praca nad przygotowaniem projektu – 25 godz.
c) studia literaturowe: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KMiBM2_U03, KMiBM2_U05, KMiBM2_U08, KMiBM2_U12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T2A_U10, T2A_U11, InzA_U01, T2A_U12, InzA_U02, InzA_U05, T2A_U09, T2A_U10, T2A_U13, InzA_U01, T2A_U18, InzA_U03</w:t>
      </w:r>
    </w:p>
    <w:p>
      <w:pPr>
        <w:keepNext w:val="1"/>
        <w:spacing w:after="10"/>
      </w:pPr>
      <w:r>
        <w:rPr>
          <w:b/>
          <w:bCs/>
        </w:rPr>
        <w:t xml:space="preserve">Efekt 1150-00000-MSP-0521_U2: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T2A_U16, InzA_U03, InzA_U04, InzA_U05, InzA_U06,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1150-00000-MSP-0521_U3: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KMiBM_U17, KMiBM2_U18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T2A_U04, 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1150-00000-MSP-0521_K1: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2026-09-29T02:41:25+02:00</dcterms:created>
  <dcterms:modified xsi:type="dcterms:W3CDTF">2026-09-29T02:41:25+02:00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