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 specjalnych uwag dodatkowych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T1A_W05</w:t>
      </w:r>
    </w:p>
    <w:p>
      <w:pPr>
        <w:keepNext w:val="1"/>
        <w:spacing w:after="10"/>
      </w:pPr>
      <w:r>
        <w:rPr>
          <w:b/>
          <w:bCs/>
        </w:rPr>
        <w:t xml:space="preserve">Efekt OT1A_W04: </w:t>
      </w:r>
    </w:p>
    <w:p>
      <w:pPr/>
      <w:r>
        <w:rPr/>
        <w:t xml:space="preserve">Zapoznał się z przykładowymi programami komputerowymi symulującymi pola elektromagnetyczne. Wie w jakich sytuacjach można zastąpić rozwiązywanie równań Maxwella rozwiązaniami uproszczonymi prowadzącymi do równań obwodowych wykorzystujących pojęcia prądu i napięcia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</w:t>
      </w:r>
    </w:p>
    <w:p>
      <w:pPr>
        <w:keepNext w:val="1"/>
        <w:spacing w:after="10"/>
      </w:pPr>
      <w:r>
        <w:rPr>
          <w:b/>
          <w:bCs/>
        </w:rPr>
        <w:t xml:space="preserve">Efekt OT2A_W04: </w:t>
      </w:r>
    </w:p>
    <w:p>
      <w:pPr/>
      <w:r>
        <w:rPr/>
        <w:t xml:space="preserve">Umie ocenić głebokości wnikania fal elektromagnetycznych w ośrodki materialne (np. ciało człowieka). Umie obliczyć rezystancje przewodów stosowanych w elektronice z uwzględnieniem efektu naskórkowego. Potrafi określić częstotliwości graniczne dla różnych rodzajów fal w prowadnicach falowych oraz przybliżone rozkłady pola dla najważniejszych praktycznie rodzajów pola. Umie obliczyć częstotliwości drgań własnych w prostych rezonatorach wnękowych oraz przybliżone rozkłady własne pól dla najczęśc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laboratoria, kolokwia,egzamin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2026-09-30T16:53:48+02:00</dcterms:created>
  <dcterms:modified xsi:type="dcterms:W3CDTF">2026-09-30T16:53:48+02:00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