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SD2_W01: </w:t>
      </w:r>
    </w:p>
    <w:p>
      <w:pPr/>
      <w:r>
        <w:rPr/>
        <w:t xml:space="preserve">Zna zasady opracowywania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T2A_W10</w:t>
      </w:r>
    </w:p>
    <w:p>
      <w:pPr>
        <w:keepNext w:val="1"/>
        <w:spacing w:after="10"/>
      </w:pPr>
      <w:r>
        <w:rPr>
          <w:b/>
          <w:bCs/>
        </w:rPr>
        <w:t xml:space="preserve">Efekt SD2_W02: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SD2_U02: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refereatu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SD2_K02: </w:t>
      </w:r>
    </w:p>
    <w:p>
      <w:pPr/>
      <w:r>
        <w:rPr/>
        <w:t xml:space="preserve">Zna możliwości dalszego kształcenia po uzyskaniu dyplomu magistra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2026-09-28T05:36:47+02:00</dcterms:created>
  <dcterms:modified xsi:type="dcterms:W3CDTF">2026-09-28T05:36:47+02:00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