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 godz. , w tym: 
a) konsultacje z opiekunem pracy - 18 godz. 
2) Praca własna studenta, w tym:
a) rozwiązanie podstawionego problemu - 400-500 godz;
b) opis osiągniętych wyników w postaci pracy dyplomowej 82 godz. ;
suma: 500-600 godz (20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 w tym:
a) rozwiązanie podstawionego problemu - 400-500h
b) opis osiągniętych wyników w postaci pracy dyplomowej 82 godz. 
c)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PD_2st_W02: </w:t>
      </w:r>
    </w:p>
    <w:p>
      <w:pPr/>
      <w:r>
        <w:rPr/>
        <w:t xml:space="preserve">Ma wiedzę z zagadnień szczegółowych z zakresu inzynierii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keepNext w:val="1"/>
        <w:spacing w:after="10"/>
      </w:pPr>
      <w:r>
        <w:rPr>
          <w:b/>
          <w:bCs/>
        </w:rPr>
        <w:t xml:space="preserve">Efekt PD_2st W01: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PD_2st 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PD_2st 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PD_2st 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InzA_U05, InzA_U07, T2A_U10, T2A_U12, InzA_U02, InzA_U05, T2A_U10, InzA_U03,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PD_2st 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PD_2st 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PD_2st 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2026-02-06T04:46:53+01:00</dcterms:created>
  <dcterms:modified xsi:type="dcterms:W3CDTF">2026-02-06T04:46:53+01:00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