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3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OWM3_W01: </w:t>
      </w:r>
    </w:p>
    <w:p>
      <w:pPr/>
      <w:r>
        <w:rPr/>
        <w:t xml:space="preserve">Ma wiedzę z zagadnień szczegółowych z zakresu automatyki i robotyki oraz mechatroniki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K_W10, K_W12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OWM3_U01: </w:t>
      </w:r>
    </w:p>
    <w:p>
      <w:pPr/>
      <w:r>
        <w:rPr/>
        <w:t xml:space="preserve">Potrafi wykonać zadanie projektowe z zakresu automatyki i robotyki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K_U05, K_U14, K_U18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T2A_U19, T2A_U07, T2A_U19, T2A_U14, T2A_U17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2025-05-12T05:16:46+02:00</dcterms:created>
  <dcterms:modified xsi:type="dcterms:W3CDTF">2025-05-12T05:16:46+02:00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