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Opiekunowie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egzaminu dyplomowego i ocena formująca postępów pracy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prezentacji i pogłębianie umiejętności dyskusji i obrony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dyskusji i stopnia zaawansowania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opiekuna specjalności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SD2_IIst_W01: </w:t>
      </w:r>
    </w:p>
    <w:p>
      <w:pPr/>
      <w:r>
        <w:rPr/>
        <w:t xml:space="preserve">Zna zasady ochrony własności intelektualnej powstałej w wyniku realizacji pracy dyplomowej magisterskiej.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SD2_IIst_W02: </w:t>
      </w:r>
    </w:p>
    <w:p>
      <w:pPr/>
      <w:r>
        <w:rPr/>
        <w:t xml:space="preserve">Zna aktualny stan techniki i tendencje rozwojowe dotyczące wybranego tematu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SD2_IIst_U01: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T2A_U04, T2A_U03</w:t>
      </w:r>
    </w:p>
    <w:p>
      <w:pPr>
        <w:keepNext w:val="1"/>
        <w:spacing w:after="10"/>
      </w:pPr>
      <w:r>
        <w:rPr>
          <w:b/>
          <w:bCs/>
        </w:rPr>
        <w:t xml:space="preserve">Efekt SD2_IIst_U02: </w:t>
      </w:r>
    </w:p>
    <w:p>
      <w:pPr/>
      <w:r>
        <w:rPr/>
        <w:t xml:space="preserve">Potrafi wykorzystać obcojęzyczne źródła informacji (w tym publikacje naukowe)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SD2_IIst_K01: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p>
      <w:pPr>
        <w:keepNext w:val="1"/>
        <w:spacing w:after="10"/>
      </w:pPr>
      <w:r>
        <w:rPr>
          <w:b/>
          <w:bCs/>
        </w:rPr>
        <w:t xml:space="preserve">Efekt SD2_IIst_K02: </w:t>
      </w:r>
    </w:p>
    <w:p>
      <w:pPr/>
      <w:r>
        <w:rPr/>
        <w:t xml:space="preserve">Zna możliwości dalszego kształcenia po uzyskaniu dyplomu magistra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2026-09-29T06:50:33+02:00</dcterms:created>
  <dcterms:modified xsi:type="dcterms:W3CDTF">2026-09-29T06:50:33+02:00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