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Prof. dr hab. inż.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55, w tym:
a) godzin wykładu 25
b) godzin ćwiczeń audytoryjnych 25
c) godzin na zdawanie egzaminu 5
2) Praca własna studenta 90, w tym:
a) przygotowanie do egzaminu i udział w tym egzaminie 35
b) przygotowania literaturowego 15
c) przygotowania do ćwiczeń audytoryjnych 40
Suma: 145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55, w tym:
a) godzin wykładu 25
b) godzin ćwiczeń audytoryjnych 25
c) godzin na zdawanie egzaminu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30, w tym:
b) godzin ćwiczeń audytoryjnych 25
c) godzin na zdawanie egzaminu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MEOz_Inst_W01: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MEOz_Inst_U01: </w:t>
      </w:r>
    </w:p>
    <w:p>
      <w:pPr/>
      <w:r>
        <w:rPr/>
        <w:t xml:space="preserve">Potrafi, w sposób analityczny, rozwiązać problem z zakresu mechaniki ogólnej. </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2026-07-03T20:09:07+02:00</dcterms:created>
  <dcterms:modified xsi:type="dcterms:W3CDTF">2026-07-03T20:09:07+02:00</dcterms:modified>
</cp:coreProperties>
</file>

<file path=docProps/custom.xml><?xml version="1.0" encoding="utf-8"?>
<Properties xmlns="http://schemas.openxmlformats.org/officeDocument/2006/custom-properties" xmlns:vt="http://schemas.openxmlformats.org/officeDocument/2006/docPropsVTypes"/>
</file>