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25h, w tym
a) laboratorium : 25h
2) Praca własna studenta 50h, w tym:
a) przygotowanie do zajęć laboratoryjnych - 17 h;
a) zapoznanie z literaturą - 17 h;
b) opracowanie sprawozdań z laboratoriów - 16h;
Suma: 75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1pkt ECTS -  Liczba godzin bezpośrednich 25h, w tym:
b) laboratorium - 25h;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2pkt ECTS - Liczba godzin 58h, w tym: 
a) wykonanie ćwiczeń laboratoryjnych: 25h;
b)przygotowanie do zajęć laboratoryjnych: 17h;
c) opracowanie sprawozdań: 16h.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układów regulacji, Identyfikacja własności obiektów regulacji, Badanie algorytmów regulacji PID, Badanie jednoobwodowego układu regulacji, Wykorzystanie sterownika PLC do sterowania w układach regulacji ciągłej i dyskretnej, Systemy monitorowania procesów, Badanie serwomechanizmu hydraulicznego, Układy kombinacyjne, Pneumatyczne układy napędowo-sterujące,  Elektropneumatyczne układy napędowo-sterujące.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laboratoriów, ocena wystawiona na podstawie obecności, kolokwiów sprawdzających, oraz zrealizowanych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 
2.  Żelazny M.: Podstawy Automatyki. WNT, Warszawa 1976 
3. Kościelny W.: Materiały pomocnicze do nauczania podstaw automatyki. Oficyna Wydawnicza PW, Warszawa 2001, wyd. III 
4. Holejko D., Kościelny W., Niewczas W.: Zbiór zadań z podstaw automatyki. Wydawnictwa Politechniki Warszawskiej, 1985, wyd. VIII 
5. Gessing R.: Podstawy automatyki. Wydawnictwo Politechniki Śląskiej, 2001 
6. Mazurek J., Vogt H., Zydanowicz W.: Podstawy automatyki. Oficyna Wydawnicza PW, Warszawa 2002 
7. Pułaczewski J, Szacka K. Manitius A.: Zasady automatyki. WNT, Warszwa, 1974 
8. Węgrzyn S.: Podstawy automatyki. PWN, Warszawa, 1980 
9. Kościelny W.: Podstawy automatyki, część II. Wydawnictwa Politechniki Warszawskiej, 1984 
10. Zieliński C.: Podstawy projektowania układów cyfrowych. PWN, Warszawa, 2003 
11. Traczyk W.: Układy cyfrowe automatyki. WNT, Warszawa 1974 12. Misiurewicz P.: Podstawy techniki cyfrowej. WNT, Warszawa 1982
12. Holejko D., Kościelny W.: Automatyka procesów ciągłych, Oficyna Wyd. PW, Warszawa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http://www.jakubmozaryn.esy.es/?page_id=18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PAU2z_ Inst_W01: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PAU2z_ Inst_W02: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keepNext w:val="1"/>
        <w:spacing w:after="10"/>
      </w:pPr>
      <w:r>
        <w:rPr>
          <w:b/>
          <w:bCs/>
        </w:rPr>
        <w:t xml:space="preserve">Efekt PAU2z_ Inst_W03: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PAU2z_ Inst_U01: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K_U14, K_U15, K_U16, K_U17, K_U19, K_U23,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T1A_U08, T1A_U13, T1A_U13, T1A_U13, T1A_U14, T1A_U16, T1A_U16, T1A_U15</w:t>
      </w:r>
    </w:p>
    <w:p>
      <w:pPr>
        <w:keepNext w:val="1"/>
        <w:spacing w:after="10"/>
      </w:pPr>
      <w:r>
        <w:rPr>
          <w:b/>
          <w:bCs/>
        </w:rPr>
        <w:t xml:space="preserve">Efekt PAU2z_ Inst_U02: </w:t>
      </w:r>
    </w:p>
    <w:p>
      <w:pPr/>
      <w:r>
        <w:rPr/>
        <w:t xml:space="preserve">Potrafi na podstawie eksperymentu zidentyfikować matematyczny model wybranego obiektu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T1A_U08, T1A_U13, T1A_U13</w:t>
      </w:r>
    </w:p>
    <w:p>
      <w:pPr>
        <w:keepNext w:val="1"/>
        <w:spacing w:after="10"/>
      </w:pPr>
      <w:r>
        <w:rPr>
          <w:b/>
          <w:bCs/>
        </w:rPr>
        <w:t xml:space="preserve">Efekt PAU2z_ Inst_U03: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K_U14, K_U15, K_U16, K_U17,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T1A_U08, T1A_U13, T1A_U13, T1A_U13, T1A_U14, T1A_U16, T1A_U16</w:t>
      </w:r>
    </w:p>
    <w:p>
      <w:pPr>
        <w:keepNext w:val="1"/>
        <w:spacing w:after="10"/>
      </w:pPr>
      <w:r>
        <w:rPr>
          <w:b/>
          <w:bCs/>
        </w:rPr>
        <w:t xml:space="preserve">Efekt PAU2z_ Inst_U04: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PAU2z_ Inst_K01: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2026-06-06T11:54:50+02:00</dcterms:created>
  <dcterms:modified xsi:type="dcterms:W3CDTF">2026-06-06T11:54:50+02:00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