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 Multimedialne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Ksawery Szykiedans, mgr inż. Błażej Kabziński, mgr inż. Roman Barczyk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UMD1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20 godz., w tym:
•	wykład 15 godz.
•	konsultacje – 3 godz.
•	egzamin – 2 godz.
2) Praca własna studenta - 
•	 przygotowanie do egzaminu: 15 godz.
•	analiza źródeł, kwerenda literatury 15 godz.
 Razem – 50 godz –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– 20 godz., w tym:
•	wykład 15 godz.
•	konsultacje – 3 godz.
•	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konstrukcji urządzeń precyzyjnych, elektroniki i optyki, mechaniki urządzeń precyzyjnych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budową  urządzeń sprzętu multimedialnego,  ich parametrami techniczno – eksploatacyjnymi, metodami ich sprawdzania i kierunkami rozwoju  sprzętu multimedialnego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Omówienie  treści przedmiotu, metodyka  realizacji wykładu (każde z omawianych na wykładzie urządzeń będzie omówione pod kątem budowy, działania, parametrów, testowania,  kierunków rozwoju).
Ogólne cechy urządzeń multimedialnych,  grupy urządzeń, zagadnienie zgodności elektromagnetycznej.
Skanery do materiałów transparentnych i refleksyjnych. 
Urządzenia identyfikacji biometrycznej.
Cyfrowe kamery wideo – rozwiązania amatorskie i profesjonalne.  Kamery  CCTV i specjalne (internetowe, miniaturowe itd.). Stosowane przetworniki. Nośniki.
Magnetyczny zapis informacji. Magnetofony i magnetowidy analogowe i cyfrowe - studyjne i powszechnego użytku. Urządzenia do archiwizacji danych. Stosowane nośniki
Dyski twarde; rozwój zespołów, rozwiązania w technologii nano.
Napędy nośników optycznych (CD, DVD, blue-ray, FMD). Zespoły napędu głowicy laserowej, serwomechanizmy śledzenia ścieżki.
Specyfika budowy napędów niestacjonarnych.
Monitory LCD/CRT/plazmowe/HDTV/SEM/OLED.
Projektory DLP, LCD.
Podstawy analizy barwy: metody opisu barwy,  system  zarządzania barwą CMS, elementy oceny jakości  wydruku, normalizacja  parametrów IQ.
Drukarki laserowe (cztero i jednoprzebiegowe), drukarki natryskowe (także stałoatramentowe), drukarki  termiczne, drukarki fotograficzne, zróżnicowanie barwników stosowanych w drukarkach, cechy  papierów
Profil barwny urządzenia. Zarządzenie profilami. Wyznaczanie wspólnych profili barwnych dla skanera, drukarki, monitora i rzutnika. Wyposażenie sal konferencyjnych (także tablice interaktywne). Systemy wideokonferencji. 
Klawiatury, urządzenia sterowania kursorem (myszy, tablety graficzne itp.)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Buczyński L.  „Komputerowe Urządzenia peryferyjne”  Annopol, 2003
Buczyński L. ”Skanery i skanowanie” MIKOM, 2005
Bushan B.: “Tribology and Mechanics of Magnetic Storage Devices” Springer Verlag. New York, 1996
Inglis A.F., Luther A.C. “Video Engineering” McGraw-Hill New York, 1996
Jedliński J. “Focusing actuator in CD drive – evaluation of transfer function parameters” 5th Polish-German Mechatronic Workshop 2005 “Trends in Mechatronics” Proceedings. Ed.: A.Pochanke, M.Bodnicki, J.Wierciak. p.82-86.
Kipphan  H. „Handbook of print media“ Springer Verlag Heidelberg, 2002                                                   
Lindner P. Tuma T., Myska M.  „Wielka księga  fotografii cyfrowej” MIKOM,  2004
Mallinson J.C.: “Foundations of Magnetic Recording” Academic Press, Inc., 1987
Marchant A.B. “Optical recording.  Technical Overview” Addison-Wesley Publishing Company, 1990
Mee, D. “Magnetic Recording”. Vol.III
Urbański B. „Magnetofony i gramofony cyfrowe”. WKiŁ Warszawa, 1989
Urbański B.: “Magnetowid”. WNT. Wyd. II  Warszawa, 1995
Watkinson J. “Coding for Digital Recording” Focal Press. London&amp;Boston, 1990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UMD_W01: </w:t>
      </w:r>
    </w:p>
    <w:p>
      <w:pPr/>
      <w:r>
        <w:rPr/>
        <w:t xml:space="preserve">Absolwent zna i rozumie budowę i działanie zespołów urządzeń multimedialnych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K_W17,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2025-05-07T02:13:18+02:00</dcterms:created>
  <dcterms:modified xsi:type="dcterms:W3CDTF">2025-05-07T02:13:18+02:00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