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64, w tym:
•	wykład 30 godz,
•	laboratorium 30 godz.
•	konsultacje 2 godz.
•	egzamin – 2 godz.
2) Praca własna studenta – 50 
•	przygotowanie do laboratorium 15 godz, 
•	studia literaturowe, przygotowanie do egzaminu  15 godz., 
•	opracowanie sprawoznań z laboratorium oraz prezentacji wyników-   20 godz.
Razem: 112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godzin bezpośrednich – 64, w tym:
•	wykład 30 godz,
•	laboratorium 30 godz.
•	konsultacje 2 godz.
•	egzamin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godzin, w tym:
•	opracowanie sprawoznań z laboratorium oraz prezentacji wyników-   20 godz
•	przygotowanie do laboratorium 15 godz, 
•	laboratorium 30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- warunków środowiskowych i bezpieczeństwa. 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 P&amp;ID.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 na zjawiska zachodzące w przepływie. Liczba Reynoldsa jako kryterium doboru przepływomierza. Budowa, podstawy teoretyczne, właściwości metrologiczno-eksploatacyjne i działanie przepływomierzy zwężkowych, piętrzących, rotametrów, turbinowych, komorowych, ultradźwiękowych, elektromagnetycznych, Coriolisa. 5. Pomiary poziomu, lepkości, gęstości, składu substancji. Zasady pomiaru, właściwości metrologiczne aparatury.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sprawdzianów wstępnych oraz złożonych sprawozdań i prezentacji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2. Turkowski M.: Pomiary przepływów. WPW, Warszawa, 1989 3. Chwaleba A., Czajewski J.: Przetworniki pomiarowe i defektoskopowe. OWPW, Warszawa, 1998 4. Kabza Z., Kostyrko K.: Metrologia przepływów, gęstości i lepkości. Wyd. WSI Opole,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 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MEP 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 _U1: </w:t>
      </w:r>
    </w:p>
    <w:p>
      <w:pPr/>
      <w:r>
        <w:rPr/>
        <w:t xml:space="preserve">Potrafi oszacować niepewności standardowe pomiarów i zsumować je zgodnie z zasadami metrologii dla uzyskania niepewności złożonej i rozszerzonej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MEP _U2: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MEP _U3: </w:t>
      </w:r>
    </w:p>
    <w:p>
      <w:pPr/>
      <w:r>
        <w:rPr/>
        <w:t xml:space="preserve">Potrafi ocenić potrzebę i dobrać urządzenia do pracy w środowisku zagrożonym wybuchem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 _K01: </w:t>
      </w:r>
    </w:p>
    <w:p>
      <w:pPr/>
      <w:r>
        <w:rPr/>
        <w:t xml:space="preserve">Potrafi zorganizować pracę małego zespołu dla realizacji konkretnego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przebiegu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2026-07-25T08:09:36+02:00</dcterms:created>
  <dcterms:modified xsi:type="dcterms:W3CDTF">2026-07-25T08:09:36+02:00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