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terytorialny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Hanna Trojanowska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 godzin, w tym:
a) udział w wykładach: 8 x 2 godz. = 16 godz., 
b) udział w konsultacjach 4 x 2 godz = 8 godz.,
c) obecność na zaliczeniu: 3 godz.
2) Praca własna studenta - 23 godzin, w tym:
a) przygotowanie do zaliczenia: 15 godz.,
b) zapoznanie z literaturą: 8 godz.
Łącznie nakład pracy studenta wynosi 50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 - liczba godzin kontaktowych - 27 godzin, w tym:
a) udział w wykładach: 8 x 2 godz. = 16 godz., 
b) udział w konsultacjach 4 x 2 godz = 8 godz.,
c) obecność na zaliczeniu: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ekonomii, funkcjonowanie samorzadu terytorialnego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na temat podstaw marketingu, produktu terytorialnego, narzędzi marketingowych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Marketing – podstawowe pojęcia. Marketing – mix.
Psychologiczne aspekty marketingu.
Istota  marketingu terytorialnego. 
Marka kraju, marka regionu. 
Instrumenty terytorialnego marketingu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Simon Anholt. Tożsamość konkurencyjna. Nowe spojrzenie na markę, Warszawa, 2007.
2. Gospodarka regionalna i lokalna, red. Z. Strzelecki, PWN, Warszawa 2009.
3. Wally Olins, O marce, Instytut Marki Polskiej, Wyd. I, Warszawa 2004.
4. Andrzej Szromnik, Marketing terytorialny. Miasto i region na rynku, Oficyna a Wolters  Kluwer business, Kraków 2012.
5. Philip Kotler, Marketing. Analiza, planowanie wdrażanie i kontrola. FELBERG, Warszawa 1999 (lub każde następne wydanie)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GP.NMK204_W1: </w:t>
      </w:r>
    </w:p>
    <w:p>
      <w:pPr/>
      <w:r>
        <w:rPr/>
        <w:t xml:space="preserve">Zna instrumenty marketingu terytorialnego i ich zastosowanie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GP.NMK204_W2: </w:t>
      </w:r>
    </w:p>
    <w:p>
      <w:pPr/>
      <w:r>
        <w:rPr/>
        <w:t xml:space="preserve">Rozumie istotę marketingu terytorialnego i jego wpływ na rozwój regionalny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GP.NMK204_W3: </w:t>
      </w:r>
    </w:p>
    <w:p>
      <w:pPr/>
      <w:r>
        <w:rPr/>
        <w:t xml:space="preserve">Ma interdyscyplinarną wiedzę dotycząca działalności inżynierskiej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GP.NMK204_W4: </w:t>
      </w:r>
    </w:p>
    <w:p>
      <w:pPr/>
      <w:r>
        <w:rPr/>
        <w:t xml:space="preserve">Ma wiedzę o interdyscyplinarności procesu planowania w kraju i w Europie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GP.NMK204_U1: </w:t>
      </w:r>
    </w:p>
    <w:p>
      <w:pPr/>
      <w:r>
        <w:rPr/>
        <w:t xml:space="preserve">Wie jak analizować uwarunkowania procesu planowania przestrzennego związane z marketingiem terytorialnym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koplokwium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keepNext w:val="1"/>
        <w:spacing w:after="10"/>
      </w:pPr>
      <w:r>
        <w:rPr>
          <w:b/>
          <w:bCs/>
        </w:rPr>
        <w:t xml:space="preserve">Efekt GP.NMK204_U2: </w:t>
      </w:r>
    </w:p>
    <w:p>
      <w:pPr/>
      <w:r>
        <w:rPr/>
        <w:t xml:space="preserve">Potrafi analizować wieloaspektowość procesu planowania przestrzennego, w tym aspekty marketingowe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GP.NMK204_K1: </w:t>
      </w:r>
    </w:p>
    <w:p>
      <w:pPr/>
      <w:r>
        <w:rPr/>
        <w:t xml:space="preserve">Jest świadomy skutków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GP.NMK204_K2: </w:t>
      </w:r>
    </w:p>
    <w:p>
      <w:pPr/>
      <w:r>
        <w:rPr/>
        <w:t xml:space="preserve">Potrafi uwzględniać różne kierunki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GP.NMK204_K3: </w:t>
      </w:r>
    </w:p>
    <w:p>
      <w:pPr/>
      <w:r>
        <w:rPr/>
        <w:t xml:space="preserve">Potrafi uwzględniać różne kierunki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GP.NMK204_K4: </w:t>
      </w:r>
    </w:p>
    <w:p>
      <w:pPr/>
      <w:r>
        <w:rPr/>
        <w:t xml:space="preserve">Potrafi przewidywać różnorodne skutki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2026-09-27T18:01:18+02:00</dcterms:created>
  <dcterms:modified xsi:type="dcterms:W3CDTF">2026-09-27T18:01:18+02:00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