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ćwiczenia - 30 godz.
b) konsultacje - 5 godz.
2. Praca własna studenta - 15, w tym:
a) przygotowanie prezentacji - 15 godz.
Łączny nakład pracy studenta wynosi 50 godzin, co odpowiada 2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 godzin, w tym:
a) ćwiczenia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uczestniczenie w ćwiczeniach - 30 godz.
b) przygotowanie prezentacji - 15 godz.
c) konsultacje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Ponadto, student zaznajamia się z  uwarunkowaniami prawno-gospodarczymi występującymi w miastach UE, które mają wpływ na rozwiązania urbanistyczne.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Kompleksowa analiza rozwiązań urbanistycznych z poszczególnych krajów UE. Zakres analizy obejmuje w szczególności następujące zagadnienia:  1) Zainicjowanie projektu – przyczyna/ podstawowe cele; 2) ‘Aktorzy’ i ich rola; 3) Forma zarządzania - złożoność struktur/ wzajemna zależność/ współdziałanie/ koordynacja; 4) Kompozycja urbanistyczna - powiązania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etc., 8) System planowania przestrzennego - regulacja/ nieformalność, 9) Inne uwarunkowania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wraz z raportem, Esej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 Maciej Chmielewski, Teoria Urbanistyki w projektowaniu i planowaniu miast, Oficyna Wydawnicza Politechniki Warszawskiej, 2010
2.	Magdalena Belof, Teoria a praktyka planowania regionalnego. Doświadczenia polskie w planowaniu przestrzennym po 1989r. Oficyna Wydawnicza Politechniki Wrocławskiej, 2013
3.	Sławomir Gzel, Wykłady o współczesnej urbanistyce, Oficyna Wydawnicza Politechniki Warszawskiej, 2015
4.	Cities of tomorrow - Challenges, visions, ways forward – (Miasta jutra – wyzwania, wizje, rozwiązania), Komisja Europejska, 2011, http://ec.europa.eu/regional_policy/archive/conferences/citiesoftomorrow/index_en.cfm
5.	The European Innovation Partnership on Smart Cities and Communities - Operational Implementation Plan: First Public Draft, 2015, http://ec.europa.eu/eip/smartcities/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GP.SMK110_W1 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GP.SMK110_W2: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GP.SMK110_W3: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GP.SMK110_U1: </w:t>
      </w:r>
    </w:p>
    <w:p>
      <w:pPr/>
      <w:r>
        <w:rPr/>
        <w:t xml:space="preserve">potrafi samodzielnie pozyskiwać informacje z literatury 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GP.SMK110_K1: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GP.SMK110_K2: </w:t>
      </w:r>
    </w:p>
    <w:p>
      <w:pPr/>
      <w:r>
        <w:rPr/>
        <w:t xml:space="preserve">potrafi współpracować 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GP.SMK110_K3: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2025-05-06T05:55:39+02:00</dcterms:created>
  <dcterms:modified xsi:type="dcterms:W3CDTF">2025-05-06T05:55:39+02:00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