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GP.SMK231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udział w wykładach - 30 godz., 
b) konsultacje: 5 godz.
2. Praca własna studenta – 23 godzin, w tym:
a) przygotowanie do zaliczenia i obecność na zaliczeniu - 13 godz. 
b) przygotowanie do zajęć, studiowanie literatury - 10 godz. 
Łączny nakład pracy studenta wynosi 58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udział w wykładach - 30 godz., 
b)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GP.SMK231_W1: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GP.SMK231_W4: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GP.SMK231_U1: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GP.SMK231_K1: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GP.SMK231_K3: </w:t>
      </w:r>
    </w:p>
    <w:p>
      <w:pPr/>
      <w:r>
        <w:rPr/>
        <w:t xml:space="preserve">Potrafi ocenić wpływ wielokierunkowych skutków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GP.SMK231_K4: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2026-09-28T07:13:54+02:00</dcterms:created>
  <dcterms:modified xsi:type="dcterms:W3CDTF">2026-09-28T07:13:54+02:00</dcterms:modified>
</cp:coreProperties>
</file>

<file path=docProps/custom.xml><?xml version="1.0" encoding="utf-8"?>
<Properties xmlns="http://schemas.openxmlformats.org/officeDocument/2006/custom-properties" xmlns:vt="http://schemas.openxmlformats.org/officeDocument/2006/docPropsVTypes"/>
</file>