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18 godzin, w tym:
a) obecność na wykładach - 16 godzin
b) obecność na egzaminie - 2 godziny 
2. Praca własna studenta – 32 godziny, w tym: 
a) studia nad literaturą przedmiotu -  10 godzin
b) przygotowanie do egzaminu - 22 godziny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18, w tym:
a) obecność na wykładach - 16 godzin 
b) obecność na egzaminie - 2 godziny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Historia architektury i urbanistyki z semestru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geneza i rozwój miasta, czynniki urbanistyczne: przyrodnicze, gospodarcze, komunikacyjne, zdrowotności, prawodawstwa, obronności oraz kompozycji. Studenci uzyskują odpowiedź na pytanie: jak organizować przestrzeń wokół nas aby była funkcjonalna i piękna?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Architektura przestrzeni: 
- sztuka kształtowania przestrzeni odzwierciedlająca kultury społeczeństw.
- związki występujące pomiędzy użytkową i techniczną jakością środowiska zabudowanego a jego wyrazem architektonicznym.
- relacje architektury obiektu budowlanego z jego otoczeniem a także wpływ tego obiektu na otoczenie.
Elementy kompozycji urbanistycznej takie jak: podłoga, ściany, strop, linie prowadzące i zatrzymujące, kąt środkowy, ciągi czasoprzestrzenne, światło, barwa.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prezentowanej podczas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Wejchert K. „Elementy kompozycji urbanistycznej”, Arkady, Warszawa 1974 i późniejsze wznowienia. 
2. Korzeniewski W. „Budownictwo mieszkaniowe, poradnik projektanta”, Arkady, Warszawa 1989. 
3. Neufert E. „Podręcznik projektowania architektoniczno-budowlanego”, Arkady, Warszawa 2011.
4. Ustawa z dnia 27 marca 2003 r. o planowaniu i zagospodarowaniu przestrzennym.
5. Rozporządzenie Ministra Infrastruktury z dnia 12 kwietnia 2002 r. w sprawie warunków technicznych, jakim powinny odpowiadać budynki i ich usytuowanie.
6. Rozporządzenie Ministra Infrastruktury z dnia 26 sierpnia 2003 r. w sprawie sposobu ustalania wymagań dotyczących nowej zabudowy i zagospodarowania terenu w przypadku miejscowego planu zagospodarowania terenu.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GP.NIK207_W1: </w:t>
      </w:r>
    </w:p>
    <w:p>
      <w:pPr/>
      <w:r>
        <w:rPr/>
        <w:t xml:space="preserve">ma podstawową wiedzę z zakresu prawa budowlanego i warunków technicznych dla budynków i ich usytuowania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GP.NIK207_W2: </w:t>
      </w:r>
    </w:p>
    <w:p>
      <w:pPr/>
      <w:r>
        <w:rPr/>
        <w:t xml:space="preserve">ma podstawową wiedzę z zakresu projektowania budynków mieszkalnych jednorodzinnych i wielorodzinnych oraz zna zasady kompozycji urbanistycznej; zna zasady tworzenia ładu przestrzennego i elementy przestrzenne określające tę kompozycję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K_W17_SR, K_W17_UR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T1A_W06, T1A_W02, T1A_W04</w:t>
      </w:r>
    </w:p>
    <w:p>
      <w:pPr>
        <w:keepNext w:val="1"/>
        <w:spacing w:after="10"/>
      </w:pPr>
      <w:r>
        <w:rPr>
          <w:b/>
          <w:bCs/>
        </w:rPr>
        <w:t xml:space="preserve">Efekt GP.NIK207_W3: </w:t>
      </w:r>
    </w:p>
    <w:p>
      <w:pPr/>
      <w:r>
        <w:rPr/>
        <w:t xml:space="preserve">zna podstawowe metody i techniki stosowane przy projektowaniu prostych układów urbanistycznych: działka, kwartał zabudowy, niewielkie osiedle mieszkaniowe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GP.NIK207_W4: </w:t>
      </w:r>
    </w:p>
    <w:p>
      <w:pPr/>
      <w:r>
        <w:rPr/>
        <w:t xml:space="preserve">ma podstawową wiedzę pozwalającą ocenić jakość zagospodarowania terenu pod kątem efektywności inwestycyjnej, użytkowej oraz zgodności z przepisami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GP.NIK207_U1: </w:t>
      </w:r>
    </w:p>
    <w:p>
      <w:pPr/>
      <w:r>
        <w:rPr/>
        <w:t xml:space="preserve">potrafi przedstawić stan istniejącego zagospodarowania terenu, przeprowadzić inwentaryzację urbanistyczną oraz ocenić jego walory kulturowe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GP.NIK207_U2: </w:t>
      </w:r>
    </w:p>
    <w:p>
      <w:pPr/>
      <w:r>
        <w:rPr/>
        <w:t xml:space="preserve">potrafi korzystać z Prawa Budowlanego i wykorzystać je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GP.NIK207_U3: </w:t>
      </w:r>
    </w:p>
    <w:p>
      <w:pPr/>
      <w:r>
        <w:rPr/>
        <w:t xml:space="preserve">potrafi pozyskiwać informacje z podanych lektur, dostosowując je do ćwiczeń projektowych w zakresie projektów urbanistycznych; umie korzystać ze źródeł internetowych i innych źródeł; potrafi dokonywać interpretacji uzyskanych danych w nawiązaniu do realizowanych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GP.NIK207_K1: </w:t>
      </w:r>
    </w:p>
    <w:p>
      <w:pPr/>
      <w:r>
        <w:rPr/>
        <w:t xml:space="preserve">realizując zadania projektowe podnosi swoje kwalifikacje i rozumie potrzebę ciągłego dokształcania się i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GP.NIK207_K2: </w:t>
      </w:r>
    </w:p>
    <w:p>
      <w:pPr/>
      <w:r>
        <w:rPr/>
        <w:t xml:space="preserve">potrafi ocenić ważne zadanie społeczne jakim jest prawidłowe zagospodarowanie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GP.NIK207_K3: </w:t>
      </w:r>
    </w:p>
    <w:p>
      <w:pPr/>
      <w:r>
        <w:rPr/>
        <w:t xml:space="preserve">potrafi rozpoznać pozatechniczne aspekty i skutki działalności w zagospodarowaniu przestrzeni, w tym jej aspekt ekologiczny i związaną z tym odpowiedzialność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2026-03-03T15:44:39+01:00</dcterms:created>
  <dcterms:modified xsi:type="dcterms:W3CDTF">2026-03-03T15:44:39+01:00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