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konstrukcje wielkopowierzchniowe (projektowanie centr handlowych, magazynów, hal), drewniane (projektowanie basenów), mostowe (kładki piesze, mosty), budynki wysokie i wysokościowe, konstrukcje cięgnowe itd. Studenci zapoznają się gabarytami obiektów i budowli oraz jaka powierzchnia jest niezbędna dla tych obiektów.
</w:t>
      </w:r>
    </w:p>
    <w:p>
      <w:pPr>
        <w:keepNext w:val="1"/>
        <w:spacing w:after="10"/>
      </w:pPr>
      <w:r>
        <w:rPr>
          <w:b/>
          <w:bCs/>
        </w:rPr>
        <w:t xml:space="preserve">Metody oceny: </w:t>
      </w:r>
    </w:p>
    <w:p>
      <w:pPr>
        <w:spacing w:before="20" w:after="190"/>
      </w:pPr>
      <w:r>
        <w:rPr/>
        <w:t xml:space="preserve">Na zakończenie wykładów przeprowadzony jest sprawdzian pisemny,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2026-09-30T03:53:01+02:00</dcterms:created>
  <dcterms:modified xsi:type="dcterms:W3CDTF">2026-09-30T03:53:01+02:00</dcterms:modified>
</cp:coreProperties>
</file>

<file path=docProps/custom.xml><?xml version="1.0" encoding="utf-8"?>
<Properties xmlns="http://schemas.openxmlformats.org/officeDocument/2006/custom-properties" xmlns:vt="http://schemas.openxmlformats.org/officeDocument/2006/docPropsVTypes"/>
</file>