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uczestnictwo w wykładach - 15 godzin
b) uczestnictwo w ćwiczeniach - 30 godzin
c) udział w konsultacjach związanych z realizacją ćwiczeń - 5 godzin
2. Praca własna studenta – 25 godzin, w tym: 
a) zapoznanie się ze wskazaną literaturą -  5 godzin,
b)  realizacja zadań projektowych w domu - 10 godzin
c) przygotowanie do zaliczenia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uczestnictwo w wykładach - 15 godzin
b) uczestnictwo w ćwiczeniach - 30 godzin
c) udział w konsultacjach związanych z realizacją ćwiczeń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godzin, w tym: 
a) uczestnictwo w ćwiczeniach - 30 godzin
b) udział w konsultacjach związanych z realizacją ćwiczeń - 5 godzin
c)  realizacja zadań projektowych w domu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aktualizacji. Rejestr cen i wartości nieruchomości jako element informacji katastralnej. Powiązania katastru z księgami wieczystymi oraz systemem podatkowym.
Ćwiczenia: 
Analiza zgodności treści mapy ewidencyjnej wybranego obrębu z wymogami rozporządzenia Ministra Regionalnego i Budownictwa z dnia 29 marca 2001 w sprawie ewidencji gruntów i budynków. Badanie aktualności treści mapy ewidencyjnej w zakresie użytków gruntowych z wykorzystaniem innych źródeł informacji (ortofotomapa, mapa zasadnicza).Praktyczne korzystanie z istniejących systemów informatycznych w jakich prowadzony jest kataster (EWMAPA, EWOPIS i inne) – praca na zbiorach zawartych w komputerowych bazach danych, tworzenie wypisów i wyrysów z komputerowych baz danych katastralnych. Określanie pola powierzchni użytkowej lokalu, sporządzenie kartoteki lokalu, a także obliczenie udziału właściciela lokalu wyodrębnionego w nieruchomości wspólnej. Sporządzanie kartotek budynków.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(3) przyporządkowane są całemu przedmiotowi. Aby uzyskać ocenę łączną należy zaliczyć każdy składnik przedmiotu: wykłady i ćwiczenia laboratoryjne; Wagi ½ wykład; ½ ćwiczenia.
Ocena łączna określona na podstawie średniej arytmetycznej z zaliczenia wykładu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dwóch sprawdzianów (dwa sprawdziany na ósmym i czternastym wykładzie w semestrze). Możliwa poprawa tylko jednego ze sprawdzianów na ostatnim wykładzie w semestrze.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17 maja 1989r. Prawo geodezyjne i kartograficzne (Dz.U.2010.193.1287 z późn. zmianami)
2. Rozporządzenie Ministra Rozwoju Regionalnego i Budownictwa z dnia 29 marca 2001r. w sprawie ewidencji gruntów i budynków (Dz. U. z dnia 2 maja 2001r. z późn. zmianami)
3. Rozporządzenie Ministra Infrastruktury z dnia 12 kwietnia 2002r. w sprawie warunków technicznych, jakim powinny odpowiadać budynki i ich usytuowanie (Dz.U.2002.75.690)
4. Rozporządzenie Rady Ministrów z dnia 10 grudnia 2010r. w sprawie Klasyfikacji Środków Trwałych (KŚT) (Dz.U.2010.242.1622)
5. Rozporządzenie Rady Ministrów z dnia 30 grudnia 1999r. w sprawie Polskiej Klasyfikacji Obiektów Budowlanych (PKOB) (Dz.U.1999.112.1316)
6. Rozporządzenie Ministra Administracji i Cyfryzacji z dnia 9 stycznia 2012r. w sprawie ewidencji miejscowości, ulic i adresów (Dz.U.2012.125)
7. Ustawa z dnia 24 czerwca 1994 r. o własności lokali. (Dz.U.2000.80.903)
8. Ustawa z dnia 21 czerwca 2001 r. – o ochronie praw lokatorów, mieszkaniowym zasobie gminy  i o zmianie Kodeksu cywilnego (Dz.U.2014.150)
9. Ustawa z dnia 23 kwietnia 1964r. Kodeks Cywilny (Dz.U.2014.121 z późn. zmianami)
10. Ustawa z dnia 6 lipca 1982r. o księgach wieczystych i hipotece (Dz.U.2013.707 z późn. zmianami)
11. Rozporządzenie Ministra Sprawiedliwości z dnia 21 listopada 2013r. w sprawie zakładania i prowadzenia ksiąg wieczystych w systemie informatycznym (Dz.U.2013.1411 z późn. zmianami)
12. 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
13. Artykuły dotyczące tematyki katastru nieruchomości w czasopismach branżowych: Przegląd Geodezyjny, Geodeta i inne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GP.SIK329_W1: </w:t>
      </w:r>
    </w:p>
    <w:p>
      <w:pPr/>
      <w:r>
        <w:rPr/>
        <w:t xml:space="preserve">ma wiedzę na temat podstawowych zasad funkcjonowania katastru w Polsce w ujęciu prawnym i technicznym,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GP.SIK329_U1: </w:t>
      </w:r>
    </w:p>
    <w:p>
      <w:pPr/>
      <w:r>
        <w:rPr/>
        <w:t xml:space="preserve">potrafi wskazać na sposób pozyskania niezbędnych danych do założenia i aktualizacji katastru nieruchomości oraz ocenić jakość danych katastralnych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T1A_U05, T1A_U07, T1A_U10,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GP.SIK329_K1: </w:t>
      </w:r>
    </w:p>
    <w:p>
      <w:pPr/>
      <w:r>
        <w:rPr/>
        <w:t xml:space="preserve">ma świadomość ważności zadania jakim jest prowadzenie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2026-09-30T01:41:24+02:00</dcterms:created>
  <dcterms:modified xsi:type="dcterms:W3CDTF">2026-09-30T01:41:24+02:00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