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Uwarunkowania strategii rozwoju gmin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Alina Muzioł-Węcławowicz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Gospodarka Przestrzenna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GP.SIK523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 – 50 godzin, w tym:
a) obecność na wykładach - 15 godzin 
b) obecność na ćwiczeniach - 30 godzin
c) konsultacje - 5 godzin
2. Praca własna studenta – 70 godzin, w tym: 
a) przygotowanie do zajęć ćwiczeniowych - 15 godzin
b) dokończenie projektów - 30 godzin
c) przygotowanie do kolokwium - 25 godzin
Łączny nakład pracy studenta wynosi 120 godzin, co odpowiada 4 punktom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1,7 pkt. ECTS - liczba godzin kontaktowych 50, w tym:
a) obecność na wykładach - 15 godzin 
b) obecność na ćwiczeniach - 30 godzin
c) konsultacje - 5 godzin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2,5 pkt. ECTS - 75 godzin, w tym: 
a) obecność na ćwiczeniach - 30 godzin
b) przygotowanie do zajęć ćwiczeniowych - 15 godzin
c) dokończenie projektów - 30 godzin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Podstawowa wiedza o zasadach funkcjonowania jednostek samorządu terytorialnego, procesach społecznych i gospodarczych.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90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Pozyskanie wiedzy o zasadach i metodach opracowywania strategii rozwoju lokalnego, ich zakresach merytorycznych oraz umiejętność opracowywania i analizy strategii rozwoju gmin. Pozyskanie umiejętności analizy dokumentów polityki rozwoju na poziomie dokumentów Unii Europejskiej, krajowym, regionalnym i lokalnym oraz umiejętności stosowania analizy SWOT i opracowywania wybranych elementów strategii rozwoju lokalnego. Orientacja w zakresie podstawowych instrumentów rozwoju lokalnego (typologia, cele i zasady funkcjonowania, dostępność).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Zadania i ramy funkcjonowania samorządu terytorialnego a planowanie strategiczne
2. Uwarunkowania rozwoju lokalnego
3. Kompetencje samorządu w kształtowaniu strategii rozwoju; powiązania z sektorowymi i regionalnymi programami rozwoju 
4. Etapy konstruowania strategii - diagnoza stanu, ocena zasobów, cele strategiczne, programy i środki realizacji celów strategicznych 
5. Zakres przedmiotowy strategii – teoria a praktyka
6. Metody opracowywania strategii rozwoju gminy
7. Ewaluacja i modyfikacja strategii 
8. Rozwój gospodarczy gminy jako podstawa strategii rozwoju
9. Instrumenty wspierania rozwoju lokalnego
10. Analiza przykładowych strategii rozwoju gmin.
ZAJĘCIA PROJEKTOWE:
1. Dokumenty strategiczne ponadlokalne i ich znaczenie dla rozwoju gmin – analiza przykładowego dokumentu strategicznego, opracowanie wybranych zagadnień, dyskusja i opinia na temat znaczenia danego dokumentu dla gmin 
2. Analiza strategiczna SWOT – opracowanie dla wybranych gmin
3. Studium przypadku - opracowanie wybranych elementów strategii rozwoju lokalnego/recenzja strategii – aspekty metodyczne i merytoryczne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ćwiczeń projektowych jest wykonanie wszystkich tematów/projektów przewidzianych programem zajęć. Warunkiem zaliczenia wykładu jest uzyskanie pozytywnej oceny z kolokwium pisemnego (kolokwium odbywa się na ostatnim wykładzie). Ocenę łączną z przedmiotu ustala się licząc średnią arytmetyczną z kolokwium (waga 50%) i średnią arytmetyczną z wykonanych ćwiczeń projektowych (waga 50%), przy czym obydwa rodzaje zajęć wpływające na ocenę łączną muszą być zaliczone.
Oceny wystawiane są według zasady:  5,0 - pięć (4,76 – 5,0), 4,5 - cztery i pół (4,26 - 4,74), 4,0 - cztery (3,76 - 4,25), 3,5 - trzy i pół (3,26 - 3,75), 3,0 - trzy (3,0 - 3,25).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Bończak-Kucharczyk Ewa, 2008, Strategie rozwoju regionów i miast. Metodologia i wskazówki praktyczne, Minigo, Warszawa
2. Krajowa Polityka Miejska (MIiR, 2015, strona www MIiR)
3. Krajowa Strategia Rozwoju Regionalnego 2010-2020: Regiony, Miasta, Obszary wiejskie (MIiR, strona www MIiR)
4. Kłosowski W., Warda J., 2001, Wyspy szans. Jak budować strategie rozwoju lokalnego? W&amp;K
5. Sztando A., 2010, Wzorzec procedury budowy strategii rozwoju jednostki samorządu lokalnego, w: Rozwój lokalny i regionalny. Znaczenie wsparcia udzielanego przez jednostki samorządu terytorialnego, Zeszyty Naukowe Nr 31/2010 Wyższej Szkoły Bankowej, Poznań
6. Jewtuchowicz Aleksandra, Rzeńca Agnieszka /red./, 2009, Współczesne wyzwania miast i regionów, Wydawnictwo Uniwersytetu Łódzkiego, Łódź
7. Strony internetowe gmin, UE, ministerstw, organizacji samorządu terytorialnego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GP.SIK523_W1: </w:t>
      </w:r>
    </w:p>
    <w:p>
      <w:pPr/>
      <w:r>
        <w:rPr/>
        <w:t xml:space="preserve">rozumie zakres i znaczenie strategii rozwoju gmin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S1A_W04, S1A_W08, T1A_W08</w:t>
      </w:r>
    </w:p>
    <w:p>
      <w:pPr>
        <w:keepNext w:val="1"/>
        <w:spacing w:after="10"/>
      </w:pPr>
      <w:r>
        <w:rPr>
          <w:b/>
          <w:bCs/>
        </w:rPr>
        <w:t xml:space="preserve">Efekt GP.SIK523_W2: </w:t>
      </w:r>
    </w:p>
    <w:p>
      <w:pPr/>
      <w:r>
        <w:rPr/>
        <w:t xml:space="preserve">zna podstawy i zasady rozwoju gospodarczego gmin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K_W11, K_W19_SR, K_W19_UR, K_W24_SR, K_W24_UR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S1A_W07, S1A_W11, T1A_W09, T1A_W03, T1A_W04, T1A_W03, T1A_W04, S1A_W06, T1A_W03, T1A_W08, T1A_W01, T1A_W04</w:t>
      </w:r>
    </w:p>
    <w:p>
      <w:pPr>
        <w:keepNext w:val="1"/>
        <w:spacing w:after="10"/>
      </w:pPr>
      <w:r>
        <w:rPr>
          <w:b/>
          <w:bCs/>
        </w:rPr>
        <w:t xml:space="preserve">Efekt GP.SIK523_W3: </w:t>
      </w:r>
    </w:p>
    <w:p>
      <w:pPr/>
      <w:r>
        <w:rPr/>
        <w:t xml:space="preserve">ma wiedzę na temat podstawowych instrumentów i programów rozwoju gmin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K_W12, K_W19_SR, K_W19_UR, K_W24_SR, K_W24_UR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S1A_W02, S1A_W03, T1A_W03, T1A_W04, T1A_W03, T1A_W04, S1A_W06, T1A_W03, T1A_W08, T1A_W01, T1A_W04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GP.SIK523_U1: </w:t>
      </w:r>
    </w:p>
    <w:p>
      <w:pPr/>
      <w:r>
        <w:rPr/>
        <w:t xml:space="preserve">potrafi analizować i oceniać krajowe, regionalne i lokalne dokumenty strategiczne dotyczące rozwoju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K_U03, K_U09, K_U10, K_U11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T1A_U03, T1A_U07, T1A_U08, T1A_U09, T1A_U07, T1A_U08, T1A_U09, T1A_U07, T1A_U10</w:t>
      </w:r>
    </w:p>
    <w:p>
      <w:pPr>
        <w:keepNext w:val="1"/>
        <w:spacing w:after="10"/>
      </w:pPr>
      <w:r>
        <w:rPr>
          <w:b/>
          <w:bCs/>
        </w:rPr>
        <w:t xml:space="preserve">Efekt GP.SIK523_U2: </w:t>
      </w:r>
    </w:p>
    <w:p>
      <w:pPr/>
      <w:r>
        <w:rPr/>
        <w:t xml:space="preserve">potrafi korzystać z różnych źródeł informacji dla analizy uwarunkowań rozwoju gmin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ocena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K_U08, K_U21_SR, K_U21_UR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S1A_U02, S1A_U03, S1A_U08, P1A_U01, P1A_U07, S1A_U03</w:t>
      </w:r>
    </w:p>
    <w:p>
      <w:pPr>
        <w:keepNext w:val="1"/>
        <w:spacing w:after="10"/>
      </w:pPr>
      <w:r>
        <w:rPr>
          <w:b/>
          <w:bCs/>
        </w:rPr>
        <w:t xml:space="preserve">Efekt GP.SIK523_U3: </w:t>
      </w:r>
    </w:p>
    <w:p>
      <w:pPr/>
      <w:r>
        <w:rPr/>
        <w:t xml:space="preserve">potrafi opracować i zaprezentować (indywidualnie i w zespole) opinię na temat strategii rozwoju gminy lub wybranych jej elementów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S1A_U04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GP.SIK523_K1: </w:t>
      </w:r>
    </w:p>
    <w:p>
      <w:pPr/>
      <w:r>
        <w:rPr/>
        <w:t xml:space="preserve">potrafi ocenić efekty realizacji strategii rozwoju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K_K03, K_K05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T1A_K06</w:t>
      </w:r>
    </w:p>
    <w:p>
      <w:pPr>
        <w:keepNext w:val="1"/>
        <w:spacing w:after="10"/>
      </w:pPr>
      <w:r>
        <w:rPr>
          <w:b/>
          <w:bCs/>
        </w:rPr>
        <w:t xml:space="preserve">Efekt GP.SIK523_K2: </w:t>
      </w:r>
    </w:p>
    <w:p>
      <w:pPr/>
      <w:r>
        <w:rPr/>
        <w:t xml:space="preserve">rozumie potrzebę systematycznej analizy polityki rozwoju regionalnego, opinii, raportów, Koncepcji Przestrzennego Zagospodarowania Kraju i innych dokumentów strategicznych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kolokwia, oceny projektów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K_K01, K_K02,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T1A_K01, T1A_K02, 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2025-05-07T12:52:05+02:00</dcterms:created>
  <dcterms:modified xsi:type="dcterms:W3CDTF">2025-05-07T12:52:05+02:00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