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45 godzin, w tym:
a) obecność na wykładach - 15 godzin 
b) obecność na ćwiczeniach - 15 godzin
c) udział w konsultacjach związanych z realizacją  projektu - 12 godzin
d) obecność na zaliczeniu - 3 godziny
2. Praca własna studenta – 45 godzin, w tym: 
a) przygotowanie do ćwiczeń -  25 godzin
b) przygotowanie do zaliczenia - 20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45, w tym:
a) obecność na wykładach - 15 godzin 
b) obecność na ćwiczeniach - 15 godzin
c) udział w konsultacjach związanych z realizacją projektu - 12 godzin
d) obecność na zaliczeniu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pkt. ECTS - 52 godzin, w tym: 
a) obecność na ćwiczeniach - 15 godzin
b) przygotowanie do ćwiczeń -  25 godzin
c) udział w konsultacjach związanych z realizacją projektu - 12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społeczeństwie, znajomość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wpływie społecznych i kulturowych czynników na gospodarowanie przestrzenią oraz etyce użytkowania przestrzeni. Rozumienie nowych tendencji w rozwoju miast oraz procesu zróżnicowania obszarów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 i przestrzeń – kształtowanie i użytkowanie przestrzeni, rozwiązywanie konfliktów.	
Przestrzeń miejska – wybrane elementy: współczesne tendencje w rozwoju przestrzeni miast, urbanizacja i jej skutki.
Podmioty wytwarzające przestrzeń społeczną –  potrzeby przestrzenne człowieka, funkcje podmiotów (człowiek, grupa społeczna, społeczeństwo), rola kapitału społecznego. 
Gospodarowanie przestrzenią, etyka gospodarowania i użytkowania przestrzeni.
ĆWICZENIA:
"Studia przypadków” - Tożsamość miasta, Genius loci – duch miasta na podstawie wybranych miast:
1. Historia miasta w pigułce.
2. Centrum miasta – różnorodność funkcji.
3. Przestrzeń publiczna miasta.
4. Różnorodność i ład ulic – esencja miejskości.
5. Ludność – struktura wiekowa, etniczna, itp.
6. Poziom życia mieszkańców – praca, mieszkanie, wypoczynek, usługi publiczne, społeczne      zróżnicowanie miasta.
7. Czytelność miasta – cechy nadzwyczajne, unikalne.
8. Podsumowanie – identyfikacja tożsamości wybranego miasta.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
1 kolokwium pisemne w semestrze obejmujące całość wyłożonego materiału.
Zaliczenie ćwiczeń:
Ocena przygotowanych przez Studentów prezentacji dotyczących studiów przypadków.
Ocena końcowa - średnia oceny z kolokwium i oceny z prezentacji.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Karwińska, Gospodarka przestrzenna. Uwarunkowania społeczno-kulturowe.           
2. B. Jałowiecki, M. Szczepański, G. Gorzelak, Rozwój lokalny i regionalny w perspektywie socjologicznej, Śląskie Wydawnictwo Naukowe Wyższej Szkoły Zarządzania i Nauk Społecznych im. Ks. Emila Szramka w Tychach, wyd. 1, Tychy 2007.            
3. B. Jałowiecki, M. Szczepański, Miasto i przestrzeń w perspektywie socjologicznej, Wydawnictwo Naukowe Scholar,  wyd.1, Warszawa 2006.
4. B. Jałowiecki, Społeczne wytwarzanie przestrzeni, Wydawnictwo Naukowe Scholar, Warszawa 2010
5. Wybrane problemy rozwoju i rewitalizacji miast: aspekty poznawcze i praktyczne, red. J.J. Parysek , A. Tölle, Biuletyn Uniwersytetu im. Adama Mickiewicza w Poznaniu, seria RP Rozwój Regionalny i Polityka regionalna nr 5, Poznań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GP.SIK222_W1: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GP.SIK222_W2: </w:t>
      </w:r>
    </w:p>
    <w:p>
      <w:pPr/>
      <w:r>
        <w:rPr/>
        <w:t xml:space="preserve">zna i rozumie różnorodne skutki gospodarowania przestrzenią przez człowieka, grupę społeczną,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GP.SIK222_U1: </w:t>
      </w:r>
    </w:p>
    <w:p>
      <w:pPr/>
      <w:r>
        <w:rPr/>
        <w:t xml:space="preserve">potrafi pozyskiwać i wykorzystywać informacje z literatury dotyczące społecznych i kulturowych czynników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S1A_U04, S1A_U08</w:t>
      </w:r>
    </w:p>
    <w:p>
      <w:pPr>
        <w:keepNext w:val="1"/>
        <w:spacing w:after="10"/>
      </w:pPr>
      <w:r>
        <w:rPr>
          <w:b/>
          <w:bCs/>
        </w:rPr>
        <w:t xml:space="preserve">Efekt GP.SIK222_U2: </w:t>
      </w:r>
    </w:p>
    <w:p>
      <w:pPr/>
      <w:r>
        <w:rPr/>
        <w:t xml:space="preserve">potrafi opracować dokumentację dotyczącą zagadnienia współczesnego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S1A_U04, S1A_U08</w:t>
      </w:r>
    </w:p>
    <w:p>
      <w:pPr>
        <w:keepNext w:val="1"/>
        <w:spacing w:after="10"/>
      </w:pPr>
      <w:r>
        <w:rPr>
          <w:b/>
          <w:bCs/>
        </w:rPr>
        <w:t xml:space="preserve">Efekt GP.SIK222_U3: </w:t>
      </w:r>
    </w:p>
    <w:p>
      <w:pPr/>
      <w:r>
        <w:rPr/>
        <w:t xml:space="preserve">potrafi dokonać analizy i selekcji zebranych materiałów, umie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GP.SIK222_K1: </w:t>
      </w:r>
    </w:p>
    <w:p>
      <w:pPr/>
      <w:r>
        <w:rPr/>
        <w:t xml:space="preserve">potrafi pracować w zespole rozwiązując zagadnienia interdyscyplinarne związane z zagospodarowaniem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przygotownie prezentacji w zespole,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2026-09-28T15:02:16+02:00</dcterms:created>
  <dcterms:modified xsi:type="dcterms:W3CDTF">2026-09-28T15:02:16+02:00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