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uczestnictwo w wykładach - 30 godzin,
b) udział w konsultacjach - 5 godzin.
2) Praca własna studenta - 40 godzin, w tym:
a) przygotowanie do zajęć - 10 godzin,
b) przygotowanie do sprawdzianów - 30 godzin.
Razem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punkta ECTS - 35 godzin, w tym:
a) uczestnictwo w wykładach - 30 godzin,
b)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 cywilnego i administracyjnego, katastru nieruchomości oraz podstaw gospodarki gruntami na obszarach wiejskich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prawnych gospodarowania nieruchomościami Skarbu Państwa i jednostek samorządu terytorialnego, wywłaszczania nieruchomości oraz nabywania nieruchomości dla realizacji celów publicznych w trybie przepisów szczególnych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Zofia Śmiałowska-Uberman – Kompendium wiedzy prawnej dla geodetów, Wyd. Gall 2003r. 2. Ryszard Hycner – Zagadnienia geodezyjno-prawne w gospodarce nieruchomościami – Wyd. Gall 2006r. 3. Tadeusz Woś – Wywłaszczenie i zwrot nieruchomości – Wyd. PWN 1998r. 4. Gerard Bieniek, Zenon Marmaj - Użytkowanie wieczyste w praktyce, problematyka prawna – ZCO 1999r. 5. Ustawa z dnia 21 sierpnia 1997r.o gospodarce nieruchomościami – Dz. U. z 2004r. nr 261, poz. 2603 z późn. zm. 6. Przepisy wykonawcze i standardy 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GK.SIK718_K01: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GK.SIK718_W01: </w:t>
      </w:r>
    </w:p>
    <w:p>
      <w:pPr/>
      <w:r>
        <w:rPr/>
        <w:t xml:space="preserve">ma podstawową wiedzę techniczną i prawną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GK.SIK718_U01: </w:t>
      </w:r>
    </w:p>
    <w:p>
      <w:pPr/>
      <w:r>
        <w:rPr/>
        <w:t xml:space="preserve">potrafi pracować indywidualnie i w zespole, 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T1A_U13, T1A_U14, T1A_U16, T1A_U07, T1A_U11, T1A_U12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2026-09-04T11:54:50+02:00</dcterms:created>
  <dcterms:modified xsi:type="dcterms:W3CDTF">2026-09-04T11:54:50+02:00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