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
a) 18 godz. - projekt,
b) 5 godz. - konsultacje.
2. Praca własna studenta:  52 godz., praca nad przygotowaniem projektu konstrukcyjnego.
3. 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23, w tym:
a) 18 godz. - projekt,
b) 5 godz.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II", "Podstawy Konstrukcji Maszyn III", "Zapis Konstrukcji CAD II", "Zintegrowane systemy CAD/CAM/CAE", "Podstawy Konstrukcji Maszyn IV".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ZNK368_U2: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M1_U14,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ZNK368_U4: </w:t>
      </w:r>
    </w:p>
    <w:p>
      <w:pPr/>
      <w:r>
        <w:rPr/>
        <w:t xml:space="preserve">							Potrafi wykorzystywać systemy wspomagania projektowania typu CAD/CAE na wszystkich etapach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ZNK368_U5: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M1_U07, M1_U12, M1_U13, M1_U16, 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T1A_U10, T1A_U14, T1A_U16, T1A_U08, T1A_U09, T1A_U15, T1A_U16,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ZNK368_U6: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ZNK368_U7: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M1_U13, M1_U15,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T1A_U09, T1A_U09, 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ZNK368_U8: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2025-04-28T00:33:39+02:00</dcterms:created>
  <dcterms:modified xsi:type="dcterms:W3CDTF">2025-04-28T00:33:39+02:00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