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obecność na zajęciach laboratoryjnych - 18 godz.,
b) konsultacje - 2 godz.
2) Praca własna studenta - 40 godz.,  w tym:
a) przygotowanie do zajęć laboratoryjnych -20 godz.,
b) zapoznanie się ze wskazana literaturą - 8 godz.,
c) wykonanie sprawozdań z ćwiczeń laboratoryjnych - 12 godz.
Razem 60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 ECTS Liczba godzin kontaktowych - 20, w tym:
a) obecność na zajęciach laboratoryjnych - 18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 w tym: 
a) obecność na zajęciach laboratoryjnych - 18 godz.,
b) przygotowanie do zajęć laboratoryjnych -20 godz.,
c) wykonanie sprawozdań z ćwiczeń laboratoryjnych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M1_W06, 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ZNK400_W2: </w:t>
      </w:r>
    </w:p>
    <w:p>
      <w:pPr/>
      <w:r>
        <w:rPr/>
        <w:t xml:space="preserve">							Zna zasady i możliwości pomiarów na współrzędnościowych maszynach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ZNK400_W3: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M1_W09, 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T1A_W02, T1A_W03, T1A_W04, T1A_W05, T1A_W06, T1A_W07, T1A_W08</w:t>
      </w:r>
    </w:p>
    <w:p>
      <w:pPr>
        <w:keepNext w:val="1"/>
        <w:spacing w:after="10"/>
      </w:pPr>
      <w:r>
        <w:rPr>
          <w:b/>
          <w:bCs/>
        </w:rPr>
        <w:t xml:space="preserve">Efekt ZNK400_W4: </w:t>
      </w:r>
    </w:p>
    <w:p>
      <w:pPr/>
      <w:r>
        <w:rPr/>
        <w:t xml:space="preserve">							Zna konstrukcje obrabiarek i narzędzi do różnego rodzaju obróbek: plastycznych, skrawaniem, erozyjnych, gładkościowo-dokładnościowych.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ZNK400_W5: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ZNK400_W6: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</w:t>
      </w:r>
    </w:p>
    <w:p>
      <w:pPr>
        <w:keepNext w:val="1"/>
        <w:spacing w:after="10"/>
      </w:pPr>
      <w:r>
        <w:rPr>
          <w:b/>
          <w:bCs/>
        </w:rPr>
        <w:t xml:space="preserve">Efekt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M1_U16, M1_U20,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T1A_U15, T1A_U16,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ZNK400_U3: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ZNK400_U4: </w:t>
      </w:r>
    </w:p>
    <w:p>
      <w:pPr/>
      <w:r>
        <w:rPr/>
        <w:t xml:space="preserve">							Potrafi dobrać metodę spajania materiałów i podstawowe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ZNK400_U5: </w:t>
      </w:r>
    </w:p>
    <w:p>
      <w:pPr/>
      <w:r>
        <w:rPr/>
        <w:t xml:space="preserve">							Umie dokonać wyboru właściwej obróbki wykańczającej (szlifowanie, docieranie, dogładzanie) w zależności od warunków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ZNK400_U6: </w:t>
      </w:r>
    </w:p>
    <w:p>
      <w:pPr/>
      <w:r>
        <w:rPr/>
        <w:t xml:space="preserve">							Potrafi obrać sposób i parametry obróbki ściernej powierzchni swobodnych (obróbki strumieniowo-ścierne, w pojemnikach).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ZNK400_U7: </w:t>
      </w:r>
    </w:p>
    <w:p>
      <w:pPr/>
      <w:r>
        <w:rPr/>
        <w:t xml:space="preserve">							Potrafi wybrać i zastosować praktycznie obróbki stosowane do kształtowania materiałów trudnoskrawalnych (EDM, WEDM, ECM).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ZNK400_U8: </w:t>
      </w:r>
    </w:p>
    <w:p>
      <w:pPr/>
      <w:r>
        <w:rPr/>
        <w:t xml:space="preserve">							Potrafi dobrać i zastosować metody oceny warstwy wierzchniej (naprężenia własne, mikrotwardość, zgniot).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ZNK400_U9: </w:t>
      </w:r>
    </w:p>
    <w:p>
      <w:pPr/>
      <w:r>
        <w:rPr/>
        <w:t xml:space="preserve">							Potrafi praktycznie stosować metody badania struktury geometrycznej powierzchni.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2026-10-03T12:16:09+02:00</dcterms:created>
  <dcterms:modified xsi:type="dcterms:W3CDTF">2026-10-03T12:16:09+02:00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